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7536C">
      <w:pPr>
        <w:pStyle w:val="2"/>
        <w:ind w:left="0" w:leftChars="0" w:firstLine="0" w:firstLineChars="0"/>
        <w:rPr>
          <w:rFonts w:hint="default" w:ascii="Times New Roman" w:hAnsi="Times New Roman" w:eastAsia="仿宋_GB2312" w:cs="Times New Roman"/>
          <w:color w:val="000000" w:themeColor="text1" w:themeShade="80"/>
          <w:kern w:val="2"/>
          <w:sz w:val="32"/>
          <w:szCs w:val="32"/>
          <w:lang w:val="en-US" w:eastAsia="zh-CN" w:bidi="ar-SA"/>
        </w:rPr>
      </w:pPr>
    </w:p>
    <w:p w14:paraId="2CEA722A">
      <w:pPr>
        <w:spacing w:line="600" w:lineRule="exact"/>
        <w:jc w:val="center"/>
        <w:rPr>
          <w:rFonts w:hint="default" w:ascii="Times New Roman" w:hAnsi="Times New Roman" w:eastAsia="方正小标宋_GBK" w:cs="Times New Roman"/>
          <w:bCs/>
          <w:w w:val="100"/>
          <w:sz w:val="44"/>
          <w:szCs w:val="44"/>
          <w:highlight w:val="none"/>
        </w:rPr>
      </w:pPr>
      <w:bookmarkStart w:id="0" w:name="_GoBack"/>
      <w:r>
        <w:rPr>
          <w:rFonts w:hint="default" w:ascii="Times New Roman" w:hAnsi="Times New Roman" w:eastAsia="方正小标宋_GBK" w:cs="Times New Roman"/>
          <w:bCs/>
          <w:w w:val="100"/>
          <w:sz w:val="44"/>
          <w:szCs w:val="44"/>
          <w:highlight w:val="none"/>
        </w:rPr>
        <w:t>泰兴市大力推进企业上市培育助力“333”</w:t>
      </w:r>
    </w:p>
    <w:p w14:paraId="641B2194">
      <w:pPr>
        <w:spacing w:line="600" w:lineRule="exact"/>
        <w:jc w:val="center"/>
        <w:rPr>
          <w:rFonts w:hint="default" w:ascii="Times New Roman" w:hAnsi="Times New Roman" w:eastAsia="方正楷体_GBK" w:cs="Times New Roman"/>
          <w:w w:val="100"/>
          <w:sz w:val="24"/>
          <w:highlight w:val="none"/>
        </w:rPr>
      </w:pPr>
      <w:r>
        <w:rPr>
          <w:rFonts w:hint="default" w:ascii="Times New Roman" w:hAnsi="Times New Roman" w:eastAsia="方正小标宋_GBK" w:cs="Times New Roman"/>
          <w:bCs/>
          <w:w w:val="100"/>
          <w:sz w:val="44"/>
          <w:szCs w:val="44"/>
          <w:highlight w:val="none"/>
        </w:rPr>
        <w:t>现代化产业体系建设若干政策措施</w:t>
      </w:r>
      <w:bookmarkEnd w:id="0"/>
    </w:p>
    <w:p w14:paraId="1AEB7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w w:val="90"/>
          <w:sz w:val="32"/>
          <w:szCs w:val="32"/>
          <w:highlight w:val="none"/>
        </w:rPr>
      </w:pPr>
    </w:p>
    <w:p w14:paraId="019CB5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themeShade="80"/>
          <w:sz w:val="32"/>
          <w:szCs w:val="32"/>
          <w:lang w:val="en-US" w:eastAsia="zh-CN"/>
        </w:rPr>
      </w:pPr>
      <w:r>
        <w:rPr>
          <w:rFonts w:hint="default" w:ascii="Times New Roman" w:hAnsi="Times New Roman" w:eastAsia="方正仿宋_GBK" w:cs="Times New Roman"/>
          <w:color w:val="000000" w:themeColor="text1" w:themeShade="80"/>
          <w:sz w:val="32"/>
          <w:szCs w:val="32"/>
          <w:lang w:val="en-US" w:eastAsia="zh-CN"/>
        </w:rPr>
        <w:t>为深入贯彻落实中央、省、市关于推动资本市场高质量发展的各项决策部署，充分发挥资本要素赋能产业转型升级、助力“333”现代化产业体系建设的重要作用，深入实施企业上市培育行动，加快推动更多优质企业多元融资、裂变扩张，结合我市实际，特制定本政策措施。</w:t>
      </w:r>
    </w:p>
    <w:p w14:paraId="02965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一、全面挖掘后备资源</w:t>
      </w:r>
      <w:r>
        <w:rPr>
          <w:rFonts w:hint="eastAsia" w:ascii="方正黑体_GBK" w:hAnsi="方正黑体_GBK" w:eastAsia="方正黑体_GBK" w:cs="方正黑体_GBK"/>
          <w:sz w:val="32"/>
          <w:szCs w:val="32"/>
          <w:highlight w:val="none"/>
          <w:lang w:eastAsia="zh-CN"/>
        </w:rPr>
        <w:t>。</w:t>
      </w:r>
      <w:r>
        <w:rPr>
          <w:rFonts w:hint="default" w:ascii="Times New Roman" w:hAnsi="Times New Roman" w:eastAsia="方正仿宋_GBK" w:cs="Times New Roman"/>
          <w:color w:val="000000" w:themeColor="text1" w:themeShade="80"/>
          <w:sz w:val="32"/>
          <w:szCs w:val="32"/>
          <w:lang w:val="en-US" w:eastAsia="zh-CN"/>
        </w:rPr>
        <w:t>聚焦“333”现代化产业体系，重点围绕瞪羚、独角兽、专精特新“小巨人”、制造业单项冠军等高成长性企业，多部门协同推进上市后备企业挖掘工作，动态遴选符合条件的后备企业，建立健全上市后备企业资源库。市发改委重点推荐优势产业骨干企业和成熟度较高的重大项目；市科技局重点推荐独角兽、瞪羚、高新技术等创新型企业；市工信局重点推荐国家制造业单项冠军、专精特新“小巨人”等企业；市财政局（国资办）重点推荐优质国有企业、国企投资项目；市商务局重点推荐外资外贸、消费服务等企业；各乡镇（街道）、园区重点推荐具有上市潜力、已获股权投资企业及重大招引项目。</w:t>
      </w:r>
      <w:r>
        <w:rPr>
          <w:rFonts w:hint="default" w:ascii="Times New Roman" w:hAnsi="Times New Roman" w:eastAsia="方正楷体_GBK" w:cs="Times New Roman"/>
          <w:sz w:val="32"/>
          <w:szCs w:val="32"/>
          <w:highlight w:val="none"/>
          <w:lang w:val="en-US" w:eastAsia="zh-CN"/>
        </w:rPr>
        <w:t>〔责任单位：市发改委、科技局、工信局、财政局（国资办）、商务局按职责分工负责，各乡镇（街道）、园区〕</w:t>
      </w:r>
    </w:p>
    <w:p w14:paraId="6C4D71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二、健全梯队培育机制。</w:t>
      </w:r>
      <w:r>
        <w:rPr>
          <w:rFonts w:hint="default" w:ascii="Times New Roman" w:hAnsi="Times New Roman" w:eastAsia="方正仿宋_GBK" w:cs="Times New Roman"/>
          <w:color w:val="000000" w:themeColor="text1" w:themeShade="80"/>
          <w:sz w:val="32"/>
          <w:szCs w:val="32"/>
          <w:lang w:val="en-US" w:eastAsia="zh-CN"/>
        </w:rPr>
        <w:t>坚持“政府引导、企业自愿、市场运作”的总体原则，瞄准优势产业、未来产业等重点领域，以梯度培育为主线，集中力量培育一批优质上市企业。构建“孵化层”“基础层”“重点层”“冲刺层”上市后备企业培育梯队，对后备企业实施动态管理、精准跟踪培育，加快推进企业上市（挂牌）步伐。“孵化层”聚焦发展质态优良、经营业绩稳定，暂未形成明确上市意愿的潜力企业；“基础层”聚焦具备上市意愿、市场前景良好、拥有核心技术、符合国家产业政策导向的培优企业；“重点层”聚焦已与中介机构签约合作或已完成股份制改造，实质开展上市工作的进阶企业；“冲刺层”聚焦已报江苏证监局辅导备案或境外上市递表的攻坚企业。按照“培育一批、辅导一批、申报一批、上市一批”的总体思路，动态培育上市后备企业25家以上，力争到2028年末，全市新增上市（挂牌）企业3家以上。</w:t>
      </w:r>
      <w:r>
        <w:rPr>
          <w:rFonts w:hint="default" w:ascii="Times New Roman" w:hAnsi="Times New Roman" w:eastAsia="方正楷体_GBK" w:cs="Times New Roman"/>
          <w:sz w:val="32"/>
          <w:szCs w:val="32"/>
          <w:highlight w:val="none"/>
          <w:lang w:val="en-US" w:eastAsia="zh-CN"/>
        </w:rPr>
        <w:t>〔责任单位：市政府办、发改委、科技局、工信局、财政局（国资办）、商务局按职责分工负责，各乡镇（街道）、园区〕</w:t>
      </w:r>
    </w:p>
    <w:p w14:paraId="6AB498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三、全链打造服务矩阵。</w:t>
      </w:r>
      <w:r>
        <w:rPr>
          <w:rFonts w:hint="default" w:ascii="Times New Roman" w:hAnsi="Times New Roman" w:eastAsia="方正仿宋_GBK" w:cs="Times New Roman"/>
          <w:color w:val="000000" w:themeColor="text1" w:themeShade="80"/>
          <w:sz w:val="32"/>
          <w:szCs w:val="32"/>
          <w:lang w:val="en-US" w:eastAsia="zh-CN"/>
        </w:rPr>
        <w:t>强化与证券监管部门、境内外交易所、江苏股权交易中心的沟通对接，精心组织开展“泰企航·兴赋能”上市行动系列活动。结合境内外资本市场与企业发展实际，持续举办“创投机构面对面”“企业上市（挂牌）融资服务园区行”等活动，特邀交易所及中介机构专家开展专题授课，及时传递资本市场最新政策导向，精准辅导企业对接多层次资本市场。支持各乡镇（街道）、园区加强与江苏股权交易中心的战略合作，引导符合条件的企业进入区域性股权市场进行规范培育，提升企业依法经营与规范治理能力，共同推进企业股改和上市工作。</w:t>
      </w:r>
      <w:r>
        <w:rPr>
          <w:rFonts w:hint="default" w:ascii="Times New Roman" w:hAnsi="Times New Roman" w:eastAsia="方正楷体_GBK" w:cs="Times New Roman"/>
          <w:sz w:val="32"/>
          <w:szCs w:val="32"/>
          <w:highlight w:val="none"/>
          <w:lang w:val="en-US" w:eastAsia="zh-CN"/>
        </w:rPr>
        <w:t>〔责任单位：市政府办、发改委、科技局、工信局、财政局（国资办）、商务局、人民银行泰兴营管部、国家金融监管局泰兴支局按职责分工负责，各乡镇（街道）、园区〕</w:t>
      </w:r>
    </w:p>
    <w:p w14:paraId="2E1E0D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四、优化上市政务服务。</w:t>
      </w:r>
      <w:r>
        <w:rPr>
          <w:rFonts w:hint="default" w:ascii="Times New Roman" w:hAnsi="Times New Roman" w:eastAsia="方正仿宋_GBK" w:cs="Times New Roman"/>
          <w:color w:val="000000" w:themeColor="text1" w:themeShade="80"/>
          <w:sz w:val="32"/>
          <w:szCs w:val="32"/>
          <w:lang w:val="en-US" w:eastAsia="zh-CN"/>
        </w:rPr>
        <w:t>落实“专项信用报告替代有无违法记录证明”工作要求，对上市后备企业实施包容审慎监管，采取柔性执法方式，对企业改制上市过程中遇到的项目审批、历史沿革、产权规范、应急管理、环境保护、社保缴纳、税务合规、外汇管理、住房公积金等问题，按照合法合理高效的原则妥善处理，支持企业加快上市进程。依法高效做好企业上市过程中各项情况的认定工作，对企业申请确认其所受行政处罚涉及的违法行为是否属于重大违法行为的，自然资源规划、应急、生态环境等职能部门应当在5个工作日内依法确认。</w:t>
      </w:r>
      <w:r>
        <w:rPr>
          <w:rFonts w:hint="default" w:ascii="Times New Roman" w:hAnsi="Times New Roman" w:eastAsia="方正楷体_GBK" w:cs="Times New Roman"/>
          <w:sz w:val="32"/>
          <w:szCs w:val="32"/>
          <w:highlight w:val="none"/>
          <w:lang w:val="en-US" w:eastAsia="zh-CN"/>
        </w:rPr>
        <w:t>〔责任单位：市政府办、发改委、科技局、工信局、财政局（国资办）、人社局、自然资源规划局、住建局、应急管理局、数据局、市场监管局、税务局、生态环境局、消防救援大队等涉企服务部门按职责分工负责，各乡镇（街道）、园区〕</w:t>
      </w:r>
    </w:p>
    <w:p w14:paraId="529682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五、构筑国资赋能体系。</w:t>
      </w:r>
      <w:r>
        <w:rPr>
          <w:rFonts w:hint="default" w:ascii="Times New Roman" w:hAnsi="Times New Roman" w:eastAsia="方正仿宋_GBK" w:cs="Times New Roman"/>
          <w:color w:val="000000" w:themeColor="text1" w:themeShade="80"/>
          <w:sz w:val="32"/>
          <w:szCs w:val="32"/>
          <w:lang w:val="en-US" w:eastAsia="zh-CN"/>
        </w:rPr>
        <w:t>聚力投早投小投长期投硬科技，充分发挥国企资本运作优势，构建多元化股权投资基金体系，放大国有资本杠杆效应，发挥改革引领作用，助力上市及后备企业高质量发展。鼓励国有企业依托资本市场开展并购重组与产业链上下游整合，推动企业通过资本运作做大做强，促进“股权投资+企业上市”深度融合、协同发展。建立国有资本、股权投资机构与企业的信息对接联通机制，推动优质项目定期推介、双向推送，拓宽企业直接融资渠道。坚持“鼓励创新、宽容失误”原则，探索制定国有企业投资基金专项管理办法和尽职免责实施细则，进一步提升基金运作效率与投资积极性。</w:t>
      </w:r>
      <w:r>
        <w:rPr>
          <w:rFonts w:hint="default" w:ascii="Times New Roman" w:hAnsi="Times New Roman" w:eastAsia="方正楷体_GBK" w:cs="Times New Roman"/>
          <w:sz w:val="32"/>
          <w:szCs w:val="32"/>
          <w:highlight w:val="none"/>
          <w:lang w:val="en-US" w:eastAsia="zh-CN"/>
        </w:rPr>
        <w:t>〔责任单位：市财政局（国资办）、发改委、科技局、工信局、商务局、数据局、市场监管局按职责分工负责，各乡镇（街道）、园区〕</w:t>
      </w:r>
    </w:p>
    <w:p w14:paraId="57AFDA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六、营造浓厚上市氛围。</w:t>
      </w:r>
      <w:r>
        <w:rPr>
          <w:rFonts w:hint="default" w:ascii="Times New Roman" w:hAnsi="Times New Roman" w:eastAsia="方正仿宋_GBK" w:cs="Times New Roman"/>
          <w:color w:val="000000" w:themeColor="text1" w:themeShade="80"/>
          <w:sz w:val="32"/>
          <w:szCs w:val="32"/>
          <w:lang w:val="en-US" w:eastAsia="zh-CN"/>
        </w:rPr>
        <w:t>依托新媒体矩阵全方位、多维度宣传企业上市政策、成功案例和重大意义，充分发挥上市企业示范引领效应，积极营造“想上市、敢上市、能上市”的良好氛围。支持上市企业做好市值管理，灵活运用增发、可转债、优先股等多种融资工具扩大再融资规模，加大对优势产业的投入力度。积极引导上市企业通过技术创新、产业升级实现可持续发展，围绕重点产业链实施并购重组，促进产业集群化发展。</w:t>
      </w:r>
      <w:r>
        <w:rPr>
          <w:rFonts w:hint="default" w:ascii="Times New Roman" w:hAnsi="Times New Roman" w:eastAsia="方正楷体_GBK" w:cs="Times New Roman"/>
          <w:sz w:val="32"/>
          <w:szCs w:val="32"/>
          <w:highlight w:val="none"/>
          <w:lang w:val="en-US" w:eastAsia="zh-CN"/>
        </w:rPr>
        <w:t>〔责任单位：市委宣传部、市政府办、发改委、科技局、工信局、财政局（国资办）、数据局、市场监管局按职责分工负责，各乡镇（街道）、园区〕</w:t>
      </w:r>
    </w:p>
    <w:p w14:paraId="6EE480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七、加大上市政策扶持。</w:t>
      </w:r>
      <w:r>
        <w:rPr>
          <w:rFonts w:hint="default" w:ascii="Times New Roman" w:hAnsi="Times New Roman" w:eastAsia="方正仿宋_GBK" w:cs="Times New Roman"/>
          <w:color w:val="000000" w:themeColor="text1" w:themeShade="80"/>
          <w:sz w:val="32"/>
          <w:szCs w:val="32"/>
          <w:lang w:val="en-US" w:eastAsia="zh-CN"/>
        </w:rPr>
        <w:t>鼓励企业利用首发融资投入募投项目建设，按当年投入实际融资额的1%给予一次性奖励，单个企业最高奖励1000万元；利用再融资（包括配股、增发等）加快募投项目建设，按当年投入实际融资额的1%给予一次性奖励，单个企业最高奖励500万元。鼓励企业增发或发行定向可转债等实现并购重组，按当年并购重组金额的1%给予一次性奖励，单个企业最高奖励300万元。对江苏股权交易中心挂牌企业获得私募股权、创业投资基金投资，按当年实际新增股权投资额（仅限于货币出资）的1%给予一次性奖励，单个企业最高奖励200万元；对私募股权、创业投资基金投资江苏股权交易中心挂牌企业，按当年实际新增股权投资额（仅限于货币出资）的1%给予相关基金管理人奖励，每家基金管理人每年累计最高奖励200万元。具体参照我市促进实体经济高质量发展相关政策执行。</w:t>
      </w:r>
      <w:r>
        <w:rPr>
          <w:rFonts w:hint="default" w:ascii="Times New Roman" w:hAnsi="Times New Roman" w:eastAsia="方正楷体_GBK" w:cs="Times New Roman"/>
          <w:sz w:val="32"/>
          <w:szCs w:val="32"/>
          <w:highlight w:val="none"/>
          <w:lang w:val="en-US" w:eastAsia="zh-CN"/>
        </w:rPr>
        <w:t>〔责任单位：市政府办、发改委、科技局、工信局、财政局（国资办）、商务局、数据局、市场监管局按职责分工负责，各乡镇（街道）、园区〕</w:t>
      </w:r>
    </w:p>
    <w:p w14:paraId="67491D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八、强化高位组织保障。</w:t>
      </w:r>
      <w:r>
        <w:rPr>
          <w:rFonts w:hint="default" w:ascii="Times New Roman" w:hAnsi="Times New Roman" w:eastAsia="方正仿宋_GBK" w:cs="Times New Roman"/>
          <w:color w:val="000000" w:themeColor="text1" w:themeShade="80"/>
          <w:sz w:val="32"/>
          <w:szCs w:val="32"/>
          <w:lang w:val="en-US" w:eastAsia="zh-CN"/>
        </w:rPr>
        <w:t>建立市领导挂钩联系工作机制，充分发挥统筹协调作用，常态化推进“一对一”走访调研，定期召开企业上市工作专题会议，协调解决企业历史沿革、安全环保、权证办理等问题，畅通企业上市绿色服务通道。各乡镇（街道）、园区将企业上市培育工作列入重要议事日程，建立班子成员挂钩联系工作机制，明确工作目标、落实工作职责，系统梳理企业诉求，制定企业上市问题清单和任务清单，强化精准攻坚，提升服务效率。</w:t>
      </w:r>
      <w:r>
        <w:rPr>
          <w:rFonts w:hint="default" w:ascii="Times New Roman" w:hAnsi="Times New Roman" w:eastAsia="方正楷体_GBK" w:cs="Times New Roman"/>
          <w:sz w:val="32"/>
          <w:szCs w:val="32"/>
          <w:highlight w:val="none"/>
          <w:lang w:val="en-US" w:eastAsia="zh-CN"/>
        </w:rPr>
        <w:t>〔责任单位：市政府办、发改委、科技局、工信局、财政局（国资办）、人社局、自然资源规划局、住建局、应急管理局、数据局、市场监管局、税务局、生态环境局、消防救援大队等涉企服务部门按职责分工负责，各乡镇（街道）、园区〕</w:t>
      </w:r>
    </w:p>
    <w:p w14:paraId="3DF21B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themeShade="80"/>
          <w:sz w:val="32"/>
          <w:szCs w:val="32"/>
          <w:lang w:val="en-US" w:eastAsia="zh-CN"/>
        </w:rPr>
      </w:pPr>
      <w:r>
        <w:rPr>
          <w:rFonts w:hint="default" w:ascii="Times New Roman" w:hAnsi="Times New Roman" w:eastAsia="方正仿宋_GBK" w:cs="Times New Roman"/>
          <w:color w:val="000000" w:themeColor="text1" w:themeShade="80"/>
          <w:sz w:val="32"/>
          <w:szCs w:val="32"/>
          <w:lang w:val="en-US" w:eastAsia="zh-CN"/>
        </w:rPr>
        <w:t>本政策措施自印发之日起施行。2026年1月1日至本措施开始施行之日期间，涉及本政策内容的，遵照执行。</w:t>
      </w:r>
    </w:p>
    <w:p w14:paraId="6D5FE6C0">
      <w:pPr>
        <w:pStyle w:val="9"/>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Times New Roman"/>
          <w:color w:val="auto"/>
          <w:kern w:val="2"/>
          <w:sz w:val="32"/>
          <w:szCs w:val="24"/>
          <w:lang w:val="en-US" w:eastAsia="zh-CN" w:bidi="ar-SA"/>
        </w:rPr>
      </w:pPr>
    </w:p>
    <w:p w14:paraId="32F08E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F93E1B1">
      <w:pPr>
        <w:pStyle w:val="2"/>
        <w:rPr>
          <w:rFonts w:hint="eastAsia" w:ascii="仿宋_GB2312" w:hAnsi="仿宋_GB2312" w:eastAsia="仿宋_GB2312" w:cs="仿宋_GB2312"/>
          <w:sz w:val="32"/>
          <w:szCs w:val="32"/>
        </w:rPr>
      </w:pPr>
    </w:p>
    <w:p w14:paraId="302F0933">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rPr>
      </w:pPr>
    </w:p>
    <w:sectPr>
      <w:footerReference r:id="rId3" w:type="default"/>
      <w:pgSz w:w="11906" w:h="16838"/>
      <w:pgMar w:top="2268" w:right="1701" w:bottom="2268" w:left="1701" w:header="851" w:footer="170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B37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9EF41">
                          <w:pPr>
                            <w:pStyle w:val="6"/>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C9EF41">
                    <w:pPr>
                      <w:pStyle w:val="6"/>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FFA3FF"/>
    <w:rsid w:val="06AD0181"/>
    <w:rsid w:val="07247035"/>
    <w:rsid w:val="07416CB2"/>
    <w:rsid w:val="0E506B4B"/>
    <w:rsid w:val="0F690CF3"/>
    <w:rsid w:val="121E6B71"/>
    <w:rsid w:val="12DA0868"/>
    <w:rsid w:val="27696486"/>
    <w:rsid w:val="28CF16D9"/>
    <w:rsid w:val="31707702"/>
    <w:rsid w:val="38412768"/>
    <w:rsid w:val="38A55548"/>
    <w:rsid w:val="39756618"/>
    <w:rsid w:val="39A607ED"/>
    <w:rsid w:val="4181694D"/>
    <w:rsid w:val="42B72753"/>
    <w:rsid w:val="467F7FFE"/>
    <w:rsid w:val="64893F1E"/>
    <w:rsid w:val="67A10548"/>
    <w:rsid w:val="6CBC482F"/>
    <w:rsid w:val="6EE7496E"/>
    <w:rsid w:val="705A7629"/>
    <w:rsid w:val="72CF006A"/>
    <w:rsid w:val="75FF226A"/>
    <w:rsid w:val="76B502BF"/>
    <w:rsid w:val="7EBA0FF5"/>
    <w:rsid w:val="7EEF71AC"/>
    <w:rsid w:val="9B7BAB8F"/>
    <w:rsid w:val="DABF5970"/>
    <w:rsid w:val="DBFFA3FF"/>
    <w:rsid w:val="E9F7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567"/>
    </w:pPr>
    <w:rPr>
      <w:rFonts w:ascii="Times New Roman" w:hAnsi="Times New Roman"/>
      <w:sz w:val="28"/>
      <w:szCs w:val="20"/>
    </w:rPr>
  </w:style>
  <w:style w:type="paragraph" w:styleId="4">
    <w:name w:val="Normal Indent"/>
    <w:basedOn w:val="1"/>
    <w:next w:val="1"/>
    <w:qFormat/>
    <w:uiPriority w:val="0"/>
    <w:pPr>
      <w:ind w:firstLine="420" w:firstLineChars="200"/>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336</Words>
  <Characters>360</Characters>
  <Lines>0</Lines>
  <Paragraphs>0</Paragraphs>
  <TotalTime>19</TotalTime>
  <ScaleCrop>false</ScaleCrop>
  <LinksUpToDate>false</LinksUpToDate>
  <CharactersWithSpaces>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2025-12-10T21:53:00Z</dcterms:created>
  <dc:creator>山楂糖水^O^</dc:creator>
  <cp:lastModifiedBy>土豆儿</cp:lastModifiedBy>
  <cp:lastPrinted>2026-02-27T02:44:00Z</cp:lastPrinted>
  <dcterms:modified xsi:type="dcterms:W3CDTF">2026-03-09T02:10:18Z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DFBE72C830EC4ED38A68F8EE20FF7D98_13</vt:lpwstr>
  </property>
  <property fmtid="{D5CDD505-2E9C-101B-9397-08002B2CF9AE}" pid="4" name="KSOTemplateDocerSaveRecord">
    <vt:lpwstr>eyJoZGlkIjoiYjBiMmMxZmJkZDAzNWI0ZjQwYjAyNzRmMmI0NWQxOGEiLCJ1c2VySWQiOiIyMzk1ODg3MTYifQ==</vt:lpwstr>
  </property>
</Properties>
</file>