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E64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泰兴市2026年营商环境</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攻坚提优若干措施</w:t>
      </w:r>
      <w:r>
        <w:rPr>
          <w:rFonts w:hint="eastAsia" w:ascii="Times New Roman" w:hAnsi="Times New Roman" w:eastAsia="楷体_GB2312" w:cs="楷体_GB2312"/>
          <w:color w:val="000000" w:themeColor="text1"/>
          <w:sz w:val="32"/>
          <w:szCs w:val="32"/>
          <w:lang w:eastAsia="zh-CN"/>
          <w14:textFill>
            <w14:solidFill>
              <w14:schemeClr w14:val="tx1"/>
            </w14:solidFill>
          </w14:textFill>
        </w:rPr>
        <w:t>（征求意见稿）</w:t>
      </w:r>
    </w:p>
    <w:p w14:paraId="6301EF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47952D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为深入贯彻国家、省和泰州市关于优化营商环境的决策部署，持续擦亮“到泰兴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泰省心”营商环境品牌，聚焦企业全生命周期痛点堵点，以“小切口”突破带动“大环境”提升，打造“服务更优、成本更低、预期更稳、获得感更强”的营商环境，结合本地实际，特制定如下措施。</w:t>
      </w:r>
    </w:p>
    <w:p w14:paraId="43132B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疏</w:t>
      </w:r>
      <w:r>
        <w:rPr>
          <w:rFonts w:hint="default" w:ascii="Times New Roman" w:hAnsi="Times New Roman" w:eastAsia="黑体" w:cs="Times New Roman"/>
          <w:color w:val="000000" w:themeColor="text1"/>
          <w:sz w:val="32"/>
          <w:szCs w:val="32"/>
          <w14:textFill>
            <w14:solidFill>
              <w14:schemeClr w14:val="tx1"/>
            </w14:solidFill>
          </w14:textFill>
        </w:rPr>
        <w:t>审批堵点：攻坚流程壁垒，实现快办</w:t>
      </w:r>
      <w:r>
        <w:rPr>
          <w:rFonts w:hint="eastAsia" w:ascii="Times New Roman" w:hAnsi="Times New Roman" w:eastAsia="黑体" w:cs="Times New Roman"/>
          <w:color w:val="000000" w:themeColor="text1"/>
          <w:sz w:val="32"/>
          <w:szCs w:val="32"/>
          <w:lang w:eastAsia="zh-CN"/>
          <w14:textFill>
            <w14:solidFill>
              <w14:schemeClr w14:val="tx1"/>
            </w14:solidFill>
          </w14:textFill>
        </w:rPr>
        <w:t>好办</w:t>
      </w:r>
    </w:p>
    <w:p w14:paraId="661151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woUserID w:val="2"/>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1.深化“一件事”集成改革。</w:t>
      </w:r>
      <w:r>
        <w:rPr>
          <w:rFonts w:hint="eastAsia" w:ascii="Times New Roman" w:hAnsi="Times New Roman" w:eastAsia="仿宋_GB2312" w:cs="仿宋_GB2312"/>
          <w:color w:val="000000" w:themeColor="text1"/>
          <w:sz w:val="32"/>
          <w:szCs w:val="32"/>
          <w14:textFill>
            <w14:solidFill>
              <w14:schemeClr w14:val="tx1"/>
            </w14:solidFill>
          </w14:textFill>
        </w:rPr>
        <w:t>聚焦高频服务、重点领域、难点堵点，不断优化办事流程、提升集成效能，持续巩固提升现有“一件事”改革成效。</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积极推进国务院和江苏省新增“一件事”集成落地，推动“一件事一次办”提质增效。推动乡镇（街道）做好“社会救助”“申请公租房”“就业困难认定和补贴”等服务事项的承接工作。</w:t>
      </w:r>
    </w:p>
    <w:p w14:paraId="36931E0A">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2.提升项目审批效能。</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更新行政许可事项清单，取消智慧工地等非法定前置审批。推动跨部门审批业务流程重塑，强化施工安监现场核查与窗口审核联动等，杜绝项目审批“中空”“断档”。完善“泰兴市重大工业项目掌上督系统”服务功能，推动园区、乡镇（街道）和涉审部门日常使用及数据汇集，提升系统运行质效。</w:t>
      </w:r>
    </w:p>
    <w:p w14:paraId="4F8E08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woUserID w:val="2"/>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3.规范</w:t>
      </w:r>
      <w:r>
        <w:rPr>
          <w:rFonts w:hint="eastAsia" w:ascii="Times New Roman" w:hAnsi="Times New Roman" w:eastAsia="楷体_GB2312" w:cs="楷体_GB2312"/>
          <w:color w:val="000000" w:themeColor="text1"/>
          <w:sz w:val="32"/>
          <w:szCs w:val="32"/>
          <w:lang w:val="en-US" w:eastAsia="zh"/>
          <w14:textFill>
            <w14:solidFill>
              <w14:schemeClr w14:val="tx1"/>
            </w14:solidFill>
          </w14:textFill>
        </w:rPr>
        <w:t>涉审</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中介服务。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动态调整行政审批中介服务事项清单，探索中介服务机构“盲审”机制，公布星级评价结果，持续提升中介机构服务质量。推动行业主管部门及时将符合条件的中介机构纳入网上中介超市管理，坚决杜绝指定或变相指定中介服务机构。</w:t>
      </w:r>
    </w:p>
    <w:p w14:paraId="090906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w:t>
      </w:r>
      <w:r>
        <w:rPr>
          <w:rFonts w:hint="eastAsia" w:ascii="Times New Roman" w:hAnsi="Times New Roman" w:eastAsia="黑体" w:cs="黑体"/>
          <w:color w:val="000000" w:themeColor="text1"/>
          <w:sz w:val="32"/>
          <w:szCs w:val="32"/>
          <w:lang w:val="en-US" w:eastAsia="zh-CN"/>
          <w14:textFill>
            <w14:solidFill>
              <w14:schemeClr w14:val="tx1"/>
            </w14:solidFill>
          </w14:textFill>
        </w:rPr>
        <w:t>除</w:t>
      </w:r>
      <w:r>
        <w:rPr>
          <w:rFonts w:hint="eastAsia" w:ascii="Times New Roman" w:hAnsi="Times New Roman" w:eastAsia="黑体" w:cs="黑体"/>
          <w:color w:val="000000" w:themeColor="text1"/>
          <w:sz w:val="32"/>
          <w:szCs w:val="32"/>
          <w14:textFill>
            <w14:solidFill>
              <w14:schemeClr w14:val="tx1"/>
            </w14:solidFill>
          </w14:textFill>
        </w:rPr>
        <w:t>监管</w:t>
      </w:r>
      <w:r>
        <w:rPr>
          <w:rFonts w:hint="eastAsia" w:ascii="Times New Roman" w:hAnsi="Times New Roman" w:eastAsia="黑体" w:cs="黑体"/>
          <w:color w:val="000000" w:themeColor="text1"/>
          <w:sz w:val="32"/>
          <w:szCs w:val="32"/>
          <w:lang w:val="en-US" w:eastAsia="zh-CN"/>
          <w14:textFill>
            <w14:solidFill>
              <w14:schemeClr w14:val="tx1"/>
            </w14:solidFill>
          </w14:textFill>
        </w:rPr>
        <w:t>痛点</w:t>
      </w:r>
      <w:r>
        <w:rPr>
          <w:rFonts w:hint="eastAsia" w:ascii="Times New Roman" w:hAnsi="Times New Roman" w:eastAsia="黑体" w:cs="黑体"/>
          <w:color w:val="000000" w:themeColor="text1"/>
          <w:sz w:val="32"/>
          <w:szCs w:val="32"/>
          <w14:textFill>
            <w14:solidFill>
              <w14:schemeClr w14:val="tx1"/>
            </w14:solidFill>
          </w14:textFill>
        </w:rPr>
        <w:t>：规范执法行为，</w:t>
      </w:r>
      <w:r>
        <w:rPr>
          <w:rFonts w:hint="eastAsia" w:ascii="Times New Roman" w:hAnsi="Times New Roman" w:eastAsia="黑体" w:cs="黑体"/>
          <w:color w:val="000000" w:themeColor="text1"/>
          <w:sz w:val="32"/>
          <w:szCs w:val="32"/>
          <w:lang w:val="en-US" w:eastAsia="zh-CN"/>
          <w14:textFill>
            <w14:solidFill>
              <w14:schemeClr w14:val="tx1"/>
            </w14:solidFill>
          </w14:textFill>
        </w:rPr>
        <w:t>提升治理效能</w:t>
      </w:r>
    </w:p>
    <w:p w14:paraId="5CF8C6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4.提高执法队伍专业水平。</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强化基层执法队伍能力建设，聚焦环保、安全等专业领域，压实主管部门责任，加强对乡镇（街道）的业务培训和日常普查指导等。对于重大疑难复杂问题，实行部门、乡镇（街道）共同会商、协同处置。落实违法行为、隐患问题“一次告知、限期整改”要求，杜绝企业整改“永远在路上”。制定涉企行政检查专家管理办法</w:t>
      </w:r>
      <w:r>
        <w:rPr>
          <w:rFonts w:hint="eastAsia" w:ascii="Times New Roman" w:hAnsi="Times New Roman" w:eastAsia="仿宋_GB2312" w:cs="仿宋_GB2312"/>
          <w:color w:val="000000" w:themeColor="text1"/>
          <w:sz w:val="32"/>
          <w:szCs w:val="32"/>
          <w:lang w:val="en-US" w:eastAsia="zh"/>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规范“专家随检”模式，提升执法检查规范性、透明度和可预期性。</w:t>
      </w:r>
    </w:p>
    <w:p w14:paraId="1F47F1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5.提升包容审慎监管效度。</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深入推行“综合查一次”联合执法模式，制定联合检查清单，避免多头扰企、重复检查。更新并落实“从轻、减轻、不予处罚”三张清单。深化“优信豁免沙盒监管”，运用“以改代罚”“信用减罚”“承诺免罚”等柔性执法方式，充分激发市场主体发展活力。</w:t>
      </w:r>
    </w:p>
    <w:p w14:paraId="062CF7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6.构建全链监管闭环机制。</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深化泰州市“互联网+监管”平台应用，严格落实“扫码入企”，推动涉企行政检查计划线上报备、过程线上留痕、结果线上公示。深化涉企行政执法问题线索查究，常态化整治随意性检查、趋利性执法等问题。提供“邀约式”指导和风险预警等服务，精准“诊断开方”。坚持执法与服务并重，加强事前提醒和事后指导。</w:t>
      </w:r>
      <w:r>
        <w:rPr>
          <w:rFonts w:hint="eastAsia" w:ascii="Times New Roman" w:hAnsi="Times New Roman" w:eastAsia="仿宋_GB2312" w:cs="仿宋_GB2312"/>
          <w:color w:val="000000" w:themeColor="text1"/>
          <w:sz w:val="32"/>
          <w:szCs w:val="32"/>
          <w:lang w:val="en-US" w:eastAsia="zh"/>
          <w14:textFill>
            <w14:solidFill>
              <w14:schemeClr w14:val="tx1"/>
            </w14:solidFill>
          </w14:textFill>
        </w:rPr>
        <w:t>开展信用修复新规宣传培训，完善信用修复“帮办代办”机制</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p>
    <w:p w14:paraId="41EEAE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三、</w:t>
      </w:r>
      <w:r>
        <w:rPr>
          <w:rFonts w:hint="eastAsia" w:ascii="Times New Roman" w:hAnsi="Times New Roman" w:eastAsia="黑体" w:cs="黑体"/>
          <w:color w:val="000000" w:themeColor="text1"/>
          <w:sz w:val="32"/>
          <w:szCs w:val="32"/>
          <w:lang w:val="en-US" w:eastAsia="zh-CN"/>
          <w14:textFill>
            <w14:solidFill>
              <w14:schemeClr w14:val="tx1"/>
            </w14:solidFill>
          </w14:textFill>
        </w:rPr>
        <w:t>解</w:t>
      </w:r>
      <w:r>
        <w:rPr>
          <w:rFonts w:hint="eastAsia" w:ascii="Times New Roman" w:hAnsi="Times New Roman" w:eastAsia="黑体" w:cs="黑体"/>
          <w:color w:val="000000" w:themeColor="text1"/>
          <w:sz w:val="32"/>
          <w:szCs w:val="32"/>
          <w14:textFill>
            <w14:solidFill>
              <w14:schemeClr w14:val="tx1"/>
            </w14:solidFill>
          </w14:textFill>
        </w:rPr>
        <w:t>要素</w:t>
      </w:r>
      <w:r>
        <w:rPr>
          <w:rFonts w:hint="eastAsia" w:ascii="Times New Roman" w:hAnsi="Times New Roman" w:eastAsia="黑体" w:cs="黑体"/>
          <w:color w:val="000000" w:themeColor="text1"/>
          <w:sz w:val="32"/>
          <w:szCs w:val="32"/>
          <w:lang w:val="en-US" w:eastAsia="zh-CN"/>
          <w14:textFill>
            <w14:solidFill>
              <w14:schemeClr w14:val="tx1"/>
            </w14:solidFill>
          </w14:textFill>
        </w:rPr>
        <w:t>难点</w:t>
      </w:r>
      <w:r>
        <w:rPr>
          <w:rFonts w:hint="eastAsia" w:ascii="Times New Roman" w:hAnsi="Times New Roman" w:eastAsia="黑体" w:cs="黑体"/>
          <w:color w:val="000000" w:themeColor="text1"/>
          <w:sz w:val="32"/>
          <w:szCs w:val="32"/>
          <w14:textFill>
            <w14:solidFill>
              <w14:schemeClr w14:val="tx1"/>
            </w14:solidFill>
          </w14:textFill>
        </w:rPr>
        <w:t>：</w:t>
      </w:r>
      <w:r>
        <w:rPr>
          <w:rFonts w:hint="eastAsia" w:ascii="Times New Roman" w:hAnsi="Times New Roman" w:eastAsia="黑体" w:cs="黑体"/>
          <w:color w:val="000000" w:themeColor="text1"/>
          <w:sz w:val="32"/>
          <w:szCs w:val="32"/>
          <w:lang w:val="en-US"/>
          <w14:textFill>
            <w14:solidFill>
              <w14:schemeClr w14:val="tx1"/>
            </w14:solidFill>
          </w14:textFill>
        </w:rPr>
        <w:t>破</w:t>
      </w:r>
      <w:r>
        <w:rPr>
          <w:rFonts w:hint="eastAsia" w:ascii="Times New Roman" w:hAnsi="Times New Roman" w:eastAsia="黑体" w:cs="黑体"/>
          <w:color w:val="000000" w:themeColor="text1"/>
          <w:sz w:val="32"/>
          <w:szCs w:val="32"/>
          <w:lang w:val="en-US" w:eastAsia="zh"/>
          <w14:textFill>
            <w14:solidFill>
              <w14:schemeClr w14:val="tx1"/>
            </w14:solidFill>
          </w14:textFill>
        </w:rPr>
        <w:t>除供给</w:t>
      </w:r>
      <w:r>
        <w:rPr>
          <w:rFonts w:hint="eastAsia" w:ascii="Times New Roman" w:hAnsi="Times New Roman" w:eastAsia="黑体" w:cs="黑体"/>
          <w:color w:val="000000" w:themeColor="text1"/>
          <w:sz w:val="32"/>
          <w:szCs w:val="32"/>
          <w:lang w:eastAsia="zh"/>
          <w14:textFill>
            <w14:solidFill>
              <w14:schemeClr w14:val="tx1"/>
            </w14:solidFill>
          </w14:textFill>
        </w:rPr>
        <w:t>约束，赋能</w:t>
      </w:r>
      <w:r>
        <w:rPr>
          <w:rFonts w:hint="eastAsia" w:ascii="Times New Roman" w:hAnsi="Times New Roman" w:eastAsia="黑体" w:cs="黑体"/>
          <w:color w:val="000000" w:themeColor="text1"/>
          <w:sz w:val="32"/>
          <w:szCs w:val="32"/>
          <w:lang w:val="en-US" w:eastAsia="zh-CN"/>
          <w14:textFill>
            <w14:solidFill>
              <w14:schemeClr w14:val="tx1"/>
            </w14:solidFill>
          </w14:textFill>
        </w:rPr>
        <w:t>产业发展</w:t>
      </w:r>
    </w:p>
    <w:p w14:paraId="629B1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7.强化用地保障。</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从“增量扩张”向“精准匹配”与“存量优化”转变，重点保障重大产业、城建交通、乡村振兴等项目用地计划。</w:t>
      </w:r>
      <w:r>
        <w:rPr>
          <w:rFonts w:hint="eastAsia" w:ascii="Times New Roman" w:hAnsi="Times New Roman" w:eastAsia="仿宋_GB2312" w:cs="仿宋_GB2312"/>
          <w:color w:val="000000" w:themeColor="text1"/>
          <w:sz w:val="32"/>
          <w:szCs w:val="32"/>
          <w:lang w:val="en-US" w:eastAsia="zh"/>
          <w14:textFill>
            <w14:solidFill>
              <w14:schemeClr w14:val="tx1"/>
            </w14:solidFill>
          </w14:textFill>
        </w:rPr>
        <w:t>构建市级部门与</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乡镇（街道）</w:t>
      </w:r>
      <w:r>
        <w:rPr>
          <w:rFonts w:hint="eastAsia" w:ascii="Times New Roman" w:hAnsi="Times New Roman" w:eastAsia="仿宋_GB2312" w:cs="仿宋_GB2312"/>
          <w:color w:val="000000" w:themeColor="text1"/>
          <w:sz w:val="32"/>
          <w:szCs w:val="32"/>
          <w:lang w:val="en-US" w:eastAsia="zh"/>
          <w14:textFill>
            <w14:solidFill>
              <w14:schemeClr w14:val="tx1"/>
            </w14:solidFill>
          </w14:textFill>
        </w:rPr>
        <w:t>、园区协同联动机制，</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持续深化“五未”土地处置。健全“亩均效益”综合评价与闲置土地盘活退出机制，有效化解土地要素制约。落实分类分级收购储备机制，推动连片开发按控规“统一规划、储备、开发、配套、供应”，保障项目用地。</w:t>
      </w:r>
    </w:p>
    <w:p w14:paraId="2AA06A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
          <w14:textFill>
            <w14:solidFill>
              <w14:schemeClr w14:val="tx1"/>
            </w14:solidFill>
          </w14:textFill>
          <w:woUserID w:val="2"/>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8.加码人才引育。</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研究出台人才政策2.0版。拓展“择泰而兴”小程序功能，推动更多政策“一键直达”。深化产教共融，“订单式”精准培育技能人才，提升产业适配度。探索职业教育跨江融合。精准对接企业用工需求，动态掌握人才供需信息，创新拓展招聘模式，引入智能匹配技术提升人岗对接效能。</w:t>
      </w:r>
    </w:p>
    <w:p w14:paraId="45A2BF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woUserID w:val="2"/>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9.升级金融服务。</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集成运用“1+3+N”基金矩阵，为优质项目注入金融活水。推动知识产权质押融资扩面增量。提升债券市场服务实体经济质效。用好“小微贷”“泰信保”“苏科贷”“泰科融”等政策工具，进一步放大各级风险补偿基金效应。鼓励金融机构创新信贷产品，加强特色金融产品的宣传推介，开展“金融服务实体经济专场活动”，加大信贷投放力度。全年新增贷款250亿元以上。</w:t>
      </w:r>
    </w:p>
    <w:p w14:paraId="50106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10.</w:t>
      </w:r>
      <w:r>
        <w:rPr>
          <w:rFonts w:hint="eastAsia" w:ascii="Times New Roman" w:hAnsi="Times New Roman" w:eastAsia="楷体_GB2312" w:cs="楷体_GB2312"/>
          <w:color w:val="000000" w:themeColor="text1"/>
          <w:sz w:val="32"/>
          <w:szCs w:val="32"/>
          <w:lang w:val="en-US" w:eastAsia="zh"/>
          <w14:textFill>
            <w14:solidFill>
              <w14:schemeClr w14:val="tx1"/>
            </w14:solidFill>
          </w14:textFill>
        </w:rPr>
        <w:t>加快</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数据赋能。</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强化线上政务服务平台建设，加快推进泰州市一体化政务服务平台本地化部署应用。推动我市数据资产登记试点，贯通数据资产全生命周期管理流程。对全市重点企业开展摸排工作，挖掘高质量数据持有情况，建立高质量数据集培育库。培育一批“小快轻准灵”数字化产品，加快本地中小企业数字化转型普及推广。加快数实融合发展，全年招引数字经济优质项目8个以上。</w:t>
      </w:r>
    </w:p>
    <w:p w14:paraId="69A4AC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
          <w14:textFill>
            <w14:solidFill>
              <w14:schemeClr w14:val="tx1"/>
            </w14:solidFill>
          </w14:textFill>
          <w:woUserID w:val="2"/>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11.完善基础设施。</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推进园区道路、管网等基础设施改造升级，持续提升园区及商务楼宇移动通信网络覆盖质量。提前布局公共功能配套，因地制宜打造与产业发展更适配、对创新创业更友好的投资</w:t>
      </w:r>
      <w:r>
        <w:rPr>
          <w:rFonts w:hint="eastAsia" w:ascii="Times New Roman" w:hAnsi="Times New Roman" w:eastAsia="仿宋_GB2312" w:cs="仿宋_GB2312"/>
          <w:color w:val="000000" w:themeColor="text1"/>
          <w:sz w:val="32"/>
          <w:szCs w:val="32"/>
          <w:lang w:val="en-US" w:eastAsia="zh"/>
          <w14:textFill>
            <w14:solidFill>
              <w14:schemeClr w14:val="tx1"/>
            </w14:solidFill>
          </w14:textFill>
        </w:rPr>
        <w:t>环境</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加强电网统一规划建设，投运张桥变、横巷变、南新变等3项工程，持续增强接电服务能力，接电周期压降10%。构建“一核三极多点”现代物流体系，加快公路港智慧物流园建设。探索实施人才“共有产权房”，落实高品质人才社区供给。</w:t>
      </w:r>
    </w:p>
    <w:p w14:paraId="25FB41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四、破服务</w:t>
      </w:r>
      <w:r>
        <w:rPr>
          <w:rFonts w:hint="eastAsia" w:ascii="Times New Roman" w:hAnsi="Times New Roman" w:eastAsia="黑体" w:cs="黑体"/>
          <w:color w:val="000000" w:themeColor="text1"/>
          <w:sz w:val="32"/>
          <w:szCs w:val="32"/>
          <w:lang w:val="en-US" w:eastAsia="zh-CN"/>
          <w14:textFill>
            <w14:solidFill>
              <w14:schemeClr w14:val="tx1"/>
            </w14:solidFill>
          </w14:textFill>
        </w:rPr>
        <w:t>卡</w:t>
      </w:r>
      <w:r>
        <w:rPr>
          <w:rFonts w:hint="eastAsia" w:ascii="Times New Roman" w:hAnsi="Times New Roman" w:eastAsia="黑体" w:cs="黑体"/>
          <w:color w:val="000000" w:themeColor="text1"/>
          <w:sz w:val="32"/>
          <w:szCs w:val="32"/>
          <w14:textFill>
            <w14:solidFill>
              <w14:schemeClr w14:val="tx1"/>
            </w14:solidFill>
          </w14:textFill>
        </w:rPr>
        <w:t>点：聚焦急难愁盼，</w:t>
      </w:r>
      <w:r>
        <w:rPr>
          <w:rFonts w:hint="eastAsia" w:ascii="Times New Roman" w:hAnsi="Times New Roman" w:eastAsia="黑体" w:cs="黑体"/>
          <w:color w:val="000000" w:themeColor="text1"/>
          <w:sz w:val="32"/>
          <w:szCs w:val="32"/>
          <w:lang w:eastAsia="zh"/>
          <w14:textFill>
            <w14:solidFill>
              <w14:schemeClr w14:val="tx1"/>
            </w14:solidFill>
          </w14:textFill>
        </w:rPr>
        <w:t>激发市场活力</w:t>
      </w:r>
    </w:p>
    <w:p w14:paraId="7D478F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
          <w14:textFill>
            <w14:solidFill>
              <w14:schemeClr w14:val="tx1"/>
            </w14:solidFill>
          </w14:textFill>
          <w:woUserID w:val="2"/>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12.提高惠企政策实效。</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注重政策取向一致性评估和事后评估，建立多元化企业参与机制，将企业真实感受和实际需求作为政策制定核心标尺。升级完善“泰企惠”政策库，动态更新惠企政策申报月历，创新政策推送方式，提升政策匹配度和兑现率。简化惠企政策兑现流程，扩大惠企政策免申即享、财政资金直达快享覆盖面，原则上不额外增设审核条件。</w:t>
      </w:r>
    </w:p>
    <w:p w14:paraId="01A53276">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13.降低</w:t>
      </w:r>
      <w:r>
        <w:rPr>
          <w:rFonts w:hint="eastAsia" w:ascii="Times New Roman" w:hAnsi="Times New Roman" w:eastAsia="楷体_GB2312" w:cs="楷体_GB2312"/>
          <w:color w:val="000000" w:themeColor="text1"/>
          <w:sz w:val="32"/>
          <w:szCs w:val="32"/>
          <w:lang w:val="en-US" w:eastAsia="zh"/>
          <w14:textFill>
            <w14:solidFill>
              <w14:schemeClr w14:val="tx1"/>
            </w14:solidFill>
          </w14:textFill>
        </w:rPr>
        <w:t>综合</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经营成本。</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健全完善涉企收费长效监管机制，加强对行政审批中介服务机构、行业协会商会、经营自然垄断环节业务等收费行为监管，加大查处惩戒力度。落实落细税费优惠政策。落实公共资源交易收费优惠政策，支持中小微企业与民生项目发展。</w:t>
      </w:r>
    </w:p>
    <w:p w14:paraId="688727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14.加强企业权益维护。</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实施政府投资项目招标投标和政府采购突出问题专项整治，优化招投标和政府采购环境。注重诉前调解与审慎保全，深化物业融合法庭应用，</w:t>
      </w:r>
      <w:r>
        <w:rPr>
          <w:rFonts w:hint="eastAsia" w:ascii="Times New Roman" w:hAnsi="Times New Roman" w:eastAsia="仿宋_GB2312" w:cs="仿宋_GB2312"/>
          <w:color w:val="000000" w:themeColor="text1"/>
          <w:sz w:val="32"/>
          <w:szCs w:val="32"/>
          <w:lang w:val="en-US" w:eastAsia="zh"/>
          <w14:textFill>
            <w14:solidFill>
              <w14:schemeClr w14:val="tx1"/>
            </w14:solidFill>
          </w14:textFill>
        </w:rPr>
        <w:t>设立</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税费争议调解室，在建设工程领域引入第三方调解。规范立案程序，依法及时受理企业涉诉案件，落实公安机关接报案“三个当场”制度，规范不立案告知程序。深化执破融合机制，对高新及初创企业优先适用执行和解与重整。防范化解政府机关、事业单位及村居拖欠企业账款，指导国有企业加大债务清偿力度。</w:t>
      </w:r>
    </w:p>
    <w:p w14:paraId="40AC79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
          <w14:textFill>
            <w14:solidFill>
              <w14:schemeClr w14:val="tx1"/>
            </w14:solidFill>
          </w14:textFill>
          <w:woUserID w:val="2"/>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15.完善法律服务保障。</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严格执行市场准入负面清单，全面排查清理市场准入壁垒。从严落实《公平竞争审查条例实施办法》，充分发挥公平竞争审查专家团智库作用，提升审查质量与监测评估效能。在市、乡两级公共法律服务中心建立“涉企法律服务岗”。全面推行“在线复议”。设立“企业公证”服务窗口。</w:t>
      </w:r>
    </w:p>
    <w:p w14:paraId="49415F7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16.增强企业办税便利。</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推进办税服务厅转型，引导“非接触式”办税发展，优化电子税务局体验。提升企业数电发票额度变更审批效率，增强用票便捷性，确保在5个工作日内完成发票赋额。推行“纳税信用绿卡”制度，提供“免叫号，专窗办”和税务注销即时办结等服务便利。</w:t>
      </w:r>
    </w:p>
    <w:p w14:paraId="1A5B8B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五、抓融合重点：深化协同赋能，实现聚势兴业</w:t>
      </w:r>
    </w:p>
    <w:p w14:paraId="237221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themeColor="text1"/>
          <w:kern w:val="0"/>
          <w:sz w:val="32"/>
          <w:szCs w:val="32"/>
          <w:lang w:val="en-US" w:eastAsia="zh" w:bidi="ar-SA"/>
          <w14:textFill>
            <w14:solidFill>
              <w14:schemeClr w14:val="tx1"/>
            </w14:solidFill>
          </w14:textFill>
          <w:woUserID w:val="2"/>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17.</w:t>
      </w:r>
      <w:r>
        <w:rPr>
          <w:rFonts w:hint="eastAsia" w:ascii="Times New Roman" w:hAnsi="Times New Roman" w:eastAsia="楷体_GB2312" w:cs="楷体_GB2312"/>
          <w:color w:val="000000" w:themeColor="text1"/>
          <w:sz w:val="32"/>
          <w:szCs w:val="32"/>
          <w:lang w:val="en-US" w:eastAsia="zh"/>
          <w14:textFill>
            <w14:solidFill>
              <w14:schemeClr w14:val="tx1"/>
            </w14:solidFill>
          </w14:textFill>
        </w:rPr>
        <w:t>打造更优</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开放</w:t>
      </w:r>
      <w:r>
        <w:rPr>
          <w:rFonts w:hint="eastAsia" w:ascii="Times New Roman" w:hAnsi="Times New Roman" w:eastAsia="楷体_GB2312" w:cs="楷体_GB2312"/>
          <w:color w:val="000000" w:themeColor="text1"/>
          <w:sz w:val="32"/>
          <w:szCs w:val="32"/>
          <w:lang w:val="en-US" w:eastAsia="zh"/>
          <w14:textFill>
            <w14:solidFill>
              <w14:schemeClr w14:val="tx1"/>
            </w14:solidFill>
          </w14:textFill>
        </w:rPr>
        <w:t>格局</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深入实施“百企出海拓市场”行动，围绕出海法务、财金服务等领域，开展“走出去”服务专场行动。健全常态化沟通机制，精准宣介递延纳税、税收抵免等优惠政策，推动利润再投资。高效运营全球跨境电商创新服务中心，提升企业跨境运营效率，力争年内新增跨境电商主体5家，跨境电商进出口额突破1000万美元。</w:t>
      </w:r>
    </w:p>
    <w:p w14:paraId="26552D83">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highlight w:val="none"/>
          <w:u w:val="none" w:color="auto"/>
          <w:shd w:val="clear" w:color="auto" w:fill="auto"/>
          <w:lang w:eastAsia="zh"/>
          <w14:textFill>
            <w14:solidFill>
              <w14:schemeClr w14:val="tx1"/>
            </w14:solidFill>
          </w14:textFill>
          <w:woUserID w:val="2"/>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18.加快“</w:t>
      </w:r>
      <w:r>
        <w:rPr>
          <w:rFonts w:hint="eastAsia" w:ascii="Times New Roman" w:hAnsi="Times New Roman" w:eastAsia="楷体_GB2312" w:cs="楷体_GB2312"/>
          <w:color w:val="000000" w:themeColor="text1"/>
          <w:sz w:val="32"/>
          <w:szCs w:val="32"/>
          <w:lang w:val="en-US" w:eastAsia="zh"/>
          <w14:textFill>
            <w14:solidFill>
              <w14:schemeClr w14:val="tx1"/>
            </w14:solidFill>
          </w14:textFill>
        </w:rPr>
        <w:t>双融</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”发展步伐。</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聚焦“全力融入上海、全面融入苏南”，不断拓展交流合作广度深度，力争在科创成果转化、产业项目转移、跨区协作共建上形成更多实质性成果。更新政务服务“跨江联办”合作协议，动态调整“跨江联办”事项清单，设置“跨江联办”专窗，提供就近办理服务。</w:t>
      </w:r>
    </w:p>
    <w:p w14:paraId="327F6BED">
      <w:pPr>
        <w:keepNext w:val="0"/>
        <w:keepLines w:val="0"/>
        <w:pageBreakBefore w:val="0"/>
        <w:widowControl w:val="0"/>
        <w:suppressLineNumbers w:val="0"/>
        <w:kinsoku/>
        <w:wordWrap/>
        <w:overflowPunct/>
        <w:topLinePunct w:val="0"/>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19.</w:t>
      </w:r>
      <w:r>
        <w:rPr>
          <w:rFonts w:hint="eastAsia" w:ascii="Times New Roman" w:hAnsi="Times New Roman" w:eastAsia="楷体_GB2312" w:cs="楷体_GB2312"/>
          <w:color w:val="000000" w:themeColor="text1"/>
          <w:sz w:val="32"/>
          <w:szCs w:val="32"/>
          <w:lang w:val="en-US" w:eastAsia="zh"/>
          <w14:textFill>
            <w14:solidFill>
              <w14:schemeClr w14:val="tx1"/>
            </w14:solidFill>
          </w14:textFill>
        </w:rPr>
        <w:t>优化</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创新</w:t>
      </w:r>
      <w:r>
        <w:rPr>
          <w:rFonts w:hint="eastAsia" w:ascii="Times New Roman" w:hAnsi="Times New Roman" w:eastAsia="楷体_GB2312" w:cs="楷体_GB2312"/>
          <w:color w:val="000000" w:themeColor="text1"/>
          <w:sz w:val="32"/>
          <w:szCs w:val="32"/>
          <w:lang w:val="en-US" w:eastAsia="zh"/>
          <w14:textFill>
            <w14:solidFill>
              <w14:schemeClr w14:val="tx1"/>
            </w14:solidFill>
          </w14:textFill>
        </w:rPr>
        <w:t>发展</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生态。</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推动产创融合发展，加速各类创新平台成果转出、项目转化。发挥长三角医学先进技术创新中心、中国生物发酵与未来食品产业研究院、中国（泰兴）农产品未来加工创新研究院等高能级载体作用，系统构建从前沿研究到市场产品的全链条转化生态。持续壮大“创投俱乐部”，灵活用好“拨投结合”等机制，引导社会资本、先进技术、优质资源加速向产业靠拢、向创新集聚。全年开展产学研对接30场，达成科技合作50项以上，落户重点科创项目20个以上。</w:t>
      </w:r>
    </w:p>
    <w:p w14:paraId="3989E425">
      <w:pPr>
        <w:keepNext w:val="0"/>
        <w:keepLines w:val="0"/>
        <w:pageBreakBefore w:val="0"/>
        <w:widowControl w:val="0"/>
        <w:suppressLineNumbers w:val="0"/>
        <w:kinsoku/>
        <w:wordWrap/>
        <w:overflowPunct/>
        <w:topLinePunct w:val="0"/>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20.</w:t>
      </w:r>
      <w:r>
        <w:rPr>
          <w:rFonts w:hint="eastAsia" w:ascii="Times New Roman" w:hAnsi="Times New Roman" w:eastAsia="楷体_GB2312" w:cs="楷体_GB2312"/>
          <w:color w:val="000000" w:themeColor="text1"/>
          <w:sz w:val="32"/>
          <w:szCs w:val="32"/>
          <w:lang w:val="en-US" w:eastAsia="zh"/>
          <w14:textFill>
            <w14:solidFill>
              <w14:schemeClr w14:val="tx1"/>
            </w14:solidFill>
          </w14:textFill>
        </w:rPr>
        <w:t>营造亲商护商氛围</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搭建常态化政企沟通平台，深化营商环境体验员制度，持续开展“换位跑一次”“我陪企业迎检查”等活动，落实“一企来办”工单批办交办、重大项目问题协调会办等工作机制，推动个性问题因企施策、共性问题系统破解。深化作风建设，深入纠治吃拿卡要、冷硬横推、违规收费等破坏营商环境行为。弘扬企业家精神，营造尊重和激励企业家干事创业的社会氛围。</w:t>
      </w:r>
      <w:bookmarkStart w:id="0" w:name="_GoBack"/>
      <w:bookmarkEnd w:id="0"/>
    </w:p>
    <w:sectPr>
      <w:footerReference r:id="rId3" w:type="default"/>
      <w:pgSz w:w="11906" w:h="16838"/>
      <w:pgMar w:top="2268" w:right="1701" w:bottom="2268" w:left="1701"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91C5AA-5CAA-430D-AAA6-29EA43096C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84F315AD-12F7-4CE4-92C7-77DEC529C17A}"/>
  </w:font>
  <w:font w:name="楷体_GB2312">
    <w:panose1 w:val="02010609030101010101"/>
    <w:charset w:val="86"/>
    <w:family w:val="auto"/>
    <w:pitch w:val="default"/>
    <w:sig w:usb0="00000001" w:usb1="080E0000" w:usb2="00000000" w:usb3="00000000" w:csb0="00040000" w:csb1="00000000"/>
    <w:embedRegular r:id="rId3" w:fontKey="{B83ED5BB-E5AF-47DC-9FA6-DA0F9592E232}"/>
  </w:font>
  <w:font w:name="仿宋_GB2312">
    <w:panose1 w:val="02010609030101010101"/>
    <w:charset w:val="86"/>
    <w:family w:val="auto"/>
    <w:pitch w:val="default"/>
    <w:sig w:usb0="00000001" w:usb1="080E0000" w:usb2="00000000" w:usb3="00000000" w:csb0="00040000" w:csb1="00000000"/>
    <w:embedRegular r:id="rId4" w:fontKey="{F5EC2508-6C66-428A-9571-9E54F5C985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0CA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7009C">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07009C">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E0F6A"/>
    <w:rsid w:val="00092509"/>
    <w:rsid w:val="00847DE1"/>
    <w:rsid w:val="00906786"/>
    <w:rsid w:val="011952D6"/>
    <w:rsid w:val="01423F24"/>
    <w:rsid w:val="019B2E04"/>
    <w:rsid w:val="01BE0F6A"/>
    <w:rsid w:val="01EA71D0"/>
    <w:rsid w:val="024B5C25"/>
    <w:rsid w:val="02987B74"/>
    <w:rsid w:val="03526200"/>
    <w:rsid w:val="03B409DD"/>
    <w:rsid w:val="04001E75"/>
    <w:rsid w:val="044C6E68"/>
    <w:rsid w:val="04561A95"/>
    <w:rsid w:val="04EB6681"/>
    <w:rsid w:val="05CA273A"/>
    <w:rsid w:val="05E34E34"/>
    <w:rsid w:val="06007F0A"/>
    <w:rsid w:val="0664493D"/>
    <w:rsid w:val="06816228"/>
    <w:rsid w:val="068A115D"/>
    <w:rsid w:val="06B5558D"/>
    <w:rsid w:val="0753050D"/>
    <w:rsid w:val="07D72EEC"/>
    <w:rsid w:val="07DB473D"/>
    <w:rsid w:val="08E753B1"/>
    <w:rsid w:val="092E3BB2"/>
    <w:rsid w:val="09414AC1"/>
    <w:rsid w:val="09641F8C"/>
    <w:rsid w:val="098E00D4"/>
    <w:rsid w:val="0A584407"/>
    <w:rsid w:val="0AEA2F37"/>
    <w:rsid w:val="0BA44E00"/>
    <w:rsid w:val="0C41127C"/>
    <w:rsid w:val="0C440892"/>
    <w:rsid w:val="0C7E4163"/>
    <w:rsid w:val="0C9C64B3"/>
    <w:rsid w:val="0CC632F9"/>
    <w:rsid w:val="0CC8265C"/>
    <w:rsid w:val="0CEC11E8"/>
    <w:rsid w:val="0D2C1523"/>
    <w:rsid w:val="0D8D29CB"/>
    <w:rsid w:val="0D913B3D"/>
    <w:rsid w:val="0DF742E8"/>
    <w:rsid w:val="0E49288D"/>
    <w:rsid w:val="0E856AE3"/>
    <w:rsid w:val="0F8E4CC1"/>
    <w:rsid w:val="10744DDF"/>
    <w:rsid w:val="10D064F7"/>
    <w:rsid w:val="10E647F0"/>
    <w:rsid w:val="117A3266"/>
    <w:rsid w:val="11D444B3"/>
    <w:rsid w:val="11E57B61"/>
    <w:rsid w:val="1255782F"/>
    <w:rsid w:val="126805E3"/>
    <w:rsid w:val="129A6DAC"/>
    <w:rsid w:val="133B2C38"/>
    <w:rsid w:val="13685340"/>
    <w:rsid w:val="139F5206"/>
    <w:rsid w:val="13D31AB1"/>
    <w:rsid w:val="141166AC"/>
    <w:rsid w:val="15082937"/>
    <w:rsid w:val="157F5EC2"/>
    <w:rsid w:val="15F01D49"/>
    <w:rsid w:val="15FF02DA"/>
    <w:rsid w:val="16361726"/>
    <w:rsid w:val="16BE3BF5"/>
    <w:rsid w:val="16CF7AEA"/>
    <w:rsid w:val="1735086C"/>
    <w:rsid w:val="17732C32"/>
    <w:rsid w:val="177F4793"/>
    <w:rsid w:val="17CC2294"/>
    <w:rsid w:val="18357EE7"/>
    <w:rsid w:val="183D4FEE"/>
    <w:rsid w:val="189F1804"/>
    <w:rsid w:val="18DD3194"/>
    <w:rsid w:val="192561AE"/>
    <w:rsid w:val="196795F6"/>
    <w:rsid w:val="19875E05"/>
    <w:rsid w:val="19964B09"/>
    <w:rsid w:val="1ABF78EA"/>
    <w:rsid w:val="1B043BA1"/>
    <w:rsid w:val="1B2D1349"/>
    <w:rsid w:val="1B974A15"/>
    <w:rsid w:val="1C112A19"/>
    <w:rsid w:val="1C250273"/>
    <w:rsid w:val="1CBF2475"/>
    <w:rsid w:val="1CCB0E1A"/>
    <w:rsid w:val="1CE67A02"/>
    <w:rsid w:val="1CF35935"/>
    <w:rsid w:val="1E2D1C4F"/>
    <w:rsid w:val="1E4C01D3"/>
    <w:rsid w:val="1E77796A"/>
    <w:rsid w:val="1EC27FFB"/>
    <w:rsid w:val="1ED81CFA"/>
    <w:rsid w:val="1F2E0379"/>
    <w:rsid w:val="1F3C2894"/>
    <w:rsid w:val="1FA93AE5"/>
    <w:rsid w:val="1FAB6CE1"/>
    <w:rsid w:val="1FC81641"/>
    <w:rsid w:val="1FFE3789"/>
    <w:rsid w:val="206431DB"/>
    <w:rsid w:val="20EC26B9"/>
    <w:rsid w:val="20FA7F20"/>
    <w:rsid w:val="210A7A37"/>
    <w:rsid w:val="21556F04"/>
    <w:rsid w:val="21D00DD1"/>
    <w:rsid w:val="21E62252"/>
    <w:rsid w:val="2274785E"/>
    <w:rsid w:val="22D8603F"/>
    <w:rsid w:val="22FA54C2"/>
    <w:rsid w:val="23007343"/>
    <w:rsid w:val="2346744C"/>
    <w:rsid w:val="236E228F"/>
    <w:rsid w:val="239F090A"/>
    <w:rsid w:val="23CA3B75"/>
    <w:rsid w:val="23FB786F"/>
    <w:rsid w:val="2432689E"/>
    <w:rsid w:val="244B0A92"/>
    <w:rsid w:val="24BB79C6"/>
    <w:rsid w:val="250F7D12"/>
    <w:rsid w:val="252C2672"/>
    <w:rsid w:val="25366EB0"/>
    <w:rsid w:val="25B83F05"/>
    <w:rsid w:val="26B648E9"/>
    <w:rsid w:val="26F64CBB"/>
    <w:rsid w:val="26FC6074"/>
    <w:rsid w:val="27486F08"/>
    <w:rsid w:val="27671B32"/>
    <w:rsid w:val="27897907"/>
    <w:rsid w:val="279E078A"/>
    <w:rsid w:val="28014BFC"/>
    <w:rsid w:val="281B76B8"/>
    <w:rsid w:val="28431B9D"/>
    <w:rsid w:val="28B20A50"/>
    <w:rsid w:val="28CF1C92"/>
    <w:rsid w:val="28E13773"/>
    <w:rsid w:val="2AA03BFA"/>
    <w:rsid w:val="2AA96A88"/>
    <w:rsid w:val="2ABC51E6"/>
    <w:rsid w:val="2AC33130"/>
    <w:rsid w:val="2B0A5967"/>
    <w:rsid w:val="2B3202B6"/>
    <w:rsid w:val="2C35005E"/>
    <w:rsid w:val="2C3D7F5F"/>
    <w:rsid w:val="2C42277B"/>
    <w:rsid w:val="2C8763E0"/>
    <w:rsid w:val="2CBA4A07"/>
    <w:rsid w:val="2D045C82"/>
    <w:rsid w:val="2DAF5BEE"/>
    <w:rsid w:val="2DB72CF5"/>
    <w:rsid w:val="2DD6761F"/>
    <w:rsid w:val="2E3A75A0"/>
    <w:rsid w:val="2E4C5B33"/>
    <w:rsid w:val="2E705C7C"/>
    <w:rsid w:val="2E9A689E"/>
    <w:rsid w:val="2F6173BC"/>
    <w:rsid w:val="2F7F2CAB"/>
    <w:rsid w:val="30054147"/>
    <w:rsid w:val="30424859"/>
    <w:rsid w:val="30AD68B0"/>
    <w:rsid w:val="30B8125D"/>
    <w:rsid w:val="31077AEF"/>
    <w:rsid w:val="31093867"/>
    <w:rsid w:val="31532D34"/>
    <w:rsid w:val="31B163D9"/>
    <w:rsid w:val="321921D0"/>
    <w:rsid w:val="32931F82"/>
    <w:rsid w:val="32FC18D5"/>
    <w:rsid w:val="32FD564D"/>
    <w:rsid w:val="331F3816"/>
    <w:rsid w:val="33865643"/>
    <w:rsid w:val="33A04965"/>
    <w:rsid w:val="33C94DA3"/>
    <w:rsid w:val="33CD3272"/>
    <w:rsid w:val="343B467F"/>
    <w:rsid w:val="355377A7"/>
    <w:rsid w:val="3586192A"/>
    <w:rsid w:val="35877FFA"/>
    <w:rsid w:val="361B39BB"/>
    <w:rsid w:val="36403EC7"/>
    <w:rsid w:val="3641163C"/>
    <w:rsid w:val="365B6913"/>
    <w:rsid w:val="36832CE3"/>
    <w:rsid w:val="369C0A4F"/>
    <w:rsid w:val="369F7CC7"/>
    <w:rsid w:val="36AB4BC9"/>
    <w:rsid w:val="36AC716F"/>
    <w:rsid w:val="372C4753"/>
    <w:rsid w:val="37472B26"/>
    <w:rsid w:val="380A4A95"/>
    <w:rsid w:val="381E409C"/>
    <w:rsid w:val="387E054A"/>
    <w:rsid w:val="38F372D7"/>
    <w:rsid w:val="39496958"/>
    <w:rsid w:val="39DE1D35"/>
    <w:rsid w:val="3B286FE0"/>
    <w:rsid w:val="3BF55D74"/>
    <w:rsid w:val="3C3A346E"/>
    <w:rsid w:val="3C3B1EF8"/>
    <w:rsid w:val="3C6B187A"/>
    <w:rsid w:val="3C8446EA"/>
    <w:rsid w:val="3C945797"/>
    <w:rsid w:val="3CA43E5C"/>
    <w:rsid w:val="3CB72086"/>
    <w:rsid w:val="3D6C7658"/>
    <w:rsid w:val="3D8E5820"/>
    <w:rsid w:val="3DD1395F"/>
    <w:rsid w:val="3DF71617"/>
    <w:rsid w:val="3DF77863"/>
    <w:rsid w:val="3E350391"/>
    <w:rsid w:val="3E7D4BAB"/>
    <w:rsid w:val="3E9450B8"/>
    <w:rsid w:val="3F5DAF9B"/>
    <w:rsid w:val="3F6EE857"/>
    <w:rsid w:val="3F8844F1"/>
    <w:rsid w:val="3F8C3FE1"/>
    <w:rsid w:val="3F95057A"/>
    <w:rsid w:val="3FAF7C51"/>
    <w:rsid w:val="3FD7475B"/>
    <w:rsid w:val="3FEEA1E5"/>
    <w:rsid w:val="40463E1D"/>
    <w:rsid w:val="41B35246"/>
    <w:rsid w:val="41DA7286"/>
    <w:rsid w:val="41E73751"/>
    <w:rsid w:val="42A72EE0"/>
    <w:rsid w:val="43C7383A"/>
    <w:rsid w:val="441F5424"/>
    <w:rsid w:val="4441668D"/>
    <w:rsid w:val="44C462B0"/>
    <w:rsid w:val="44D37FBC"/>
    <w:rsid w:val="45017990"/>
    <w:rsid w:val="45193FDD"/>
    <w:rsid w:val="45997458"/>
    <w:rsid w:val="45B04499"/>
    <w:rsid w:val="46222FA9"/>
    <w:rsid w:val="46503FBA"/>
    <w:rsid w:val="47040B3D"/>
    <w:rsid w:val="47081408"/>
    <w:rsid w:val="474A6C5C"/>
    <w:rsid w:val="476B4E24"/>
    <w:rsid w:val="47A65E5C"/>
    <w:rsid w:val="47BE31A6"/>
    <w:rsid w:val="47D74048"/>
    <w:rsid w:val="48905A00"/>
    <w:rsid w:val="489F6B33"/>
    <w:rsid w:val="48C04CFB"/>
    <w:rsid w:val="48CC5A18"/>
    <w:rsid w:val="48F13107"/>
    <w:rsid w:val="48F510A4"/>
    <w:rsid w:val="48F826E7"/>
    <w:rsid w:val="49F509D5"/>
    <w:rsid w:val="4A1B48DF"/>
    <w:rsid w:val="4A742ADB"/>
    <w:rsid w:val="4B3D0885"/>
    <w:rsid w:val="4B4B2196"/>
    <w:rsid w:val="4B6C1EE1"/>
    <w:rsid w:val="4B797B0F"/>
    <w:rsid w:val="4B840262"/>
    <w:rsid w:val="4C3703CD"/>
    <w:rsid w:val="4C753022"/>
    <w:rsid w:val="4CBB5F06"/>
    <w:rsid w:val="4CCA454D"/>
    <w:rsid w:val="4D0B224C"/>
    <w:rsid w:val="4DE25A53"/>
    <w:rsid w:val="4E35781A"/>
    <w:rsid w:val="4E7AE720"/>
    <w:rsid w:val="4F3316BA"/>
    <w:rsid w:val="4F3D0E54"/>
    <w:rsid w:val="4F416B96"/>
    <w:rsid w:val="4F4A9624"/>
    <w:rsid w:val="4F7A5455"/>
    <w:rsid w:val="4F8B7E11"/>
    <w:rsid w:val="4F9071D6"/>
    <w:rsid w:val="502A762A"/>
    <w:rsid w:val="5060304C"/>
    <w:rsid w:val="50B769E4"/>
    <w:rsid w:val="513C39C1"/>
    <w:rsid w:val="51642D45"/>
    <w:rsid w:val="519A5B71"/>
    <w:rsid w:val="522028C7"/>
    <w:rsid w:val="52AB07CA"/>
    <w:rsid w:val="52DD3DD7"/>
    <w:rsid w:val="533C1422"/>
    <w:rsid w:val="53BB67EB"/>
    <w:rsid w:val="53F65A75"/>
    <w:rsid w:val="542B3971"/>
    <w:rsid w:val="546C6FD4"/>
    <w:rsid w:val="54C55B73"/>
    <w:rsid w:val="54CB0CB0"/>
    <w:rsid w:val="54F45268"/>
    <w:rsid w:val="55E6205E"/>
    <w:rsid w:val="55F52488"/>
    <w:rsid w:val="566C4F24"/>
    <w:rsid w:val="56903F5F"/>
    <w:rsid w:val="569E51AE"/>
    <w:rsid w:val="56AB4841"/>
    <w:rsid w:val="56FEA4A7"/>
    <w:rsid w:val="57E3453E"/>
    <w:rsid w:val="57FC316E"/>
    <w:rsid w:val="57FD742D"/>
    <w:rsid w:val="581F1A3E"/>
    <w:rsid w:val="583819AA"/>
    <w:rsid w:val="586821D1"/>
    <w:rsid w:val="58704048"/>
    <w:rsid w:val="58B54151"/>
    <w:rsid w:val="58F06369"/>
    <w:rsid w:val="595079D6"/>
    <w:rsid w:val="59747B68"/>
    <w:rsid w:val="59F9006D"/>
    <w:rsid w:val="59FE2BF0"/>
    <w:rsid w:val="5A292701"/>
    <w:rsid w:val="5A915D68"/>
    <w:rsid w:val="5AF076C2"/>
    <w:rsid w:val="5B0B44FC"/>
    <w:rsid w:val="5B394BC5"/>
    <w:rsid w:val="5B987D76"/>
    <w:rsid w:val="5BBF627F"/>
    <w:rsid w:val="5BDD69A6"/>
    <w:rsid w:val="5BF17EE5"/>
    <w:rsid w:val="5BFF2752"/>
    <w:rsid w:val="5CD55D41"/>
    <w:rsid w:val="5CE768A3"/>
    <w:rsid w:val="5D1E4C7F"/>
    <w:rsid w:val="5D740137"/>
    <w:rsid w:val="5DD72473"/>
    <w:rsid w:val="5E371164"/>
    <w:rsid w:val="5E652175"/>
    <w:rsid w:val="5F6E751E"/>
    <w:rsid w:val="5FAF36A8"/>
    <w:rsid w:val="5FB52C88"/>
    <w:rsid w:val="5FBF21DA"/>
    <w:rsid w:val="5FF23595"/>
    <w:rsid w:val="60950268"/>
    <w:rsid w:val="60CE4002"/>
    <w:rsid w:val="60E455D3"/>
    <w:rsid w:val="611F2AAF"/>
    <w:rsid w:val="618476F8"/>
    <w:rsid w:val="61C87DA8"/>
    <w:rsid w:val="61D56691"/>
    <w:rsid w:val="61EA6C19"/>
    <w:rsid w:val="620177F7"/>
    <w:rsid w:val="622E70A1"/>
    <w:rsid w:val="62643CF8"/>
    <w:rsid w:val="62F6339C"/>
    <w:rsid w:val="62F721C8"/>
    <w:rsid w:val="63892462"/>
    <w:rsid w:val="639A466F"/>
    <w:rsid w:val="63A92B04"/>
    <w:rsid w:val="641B13C6"/>
    <w:rsid w:val="643979E4"/>
    <w:rsid w:val="64960891"/>
    <w:rsid w:val="64966BE4"/>
    <w:rsid w:val="64B21544"/>
    <w:rsid w:val="64C80D68"/>
    <w:rsid w:val="64D140C0"/>
    <w:rsid w:val="65385EEE"/>
    <w:rsid w:val="6566711C"/>
    <w:rsid w:val="65771659"/>
    <w:rsid w:val="658904F7"/>
    <w:rsid w:val="65A6554D"/>
    <w:rsid w:val="65EF4235"/>
    <w:rsid w:val="65FE0EE5"/>
    <w:rsid w:val="66A148F7"/>
    <w:rsid w:val="66C043ED"/>
    <w:rsid w:val="67214EC0"/>
    <w:rsid w:val="676AA61B"/>
    <w:rsid w:val="67BD26DA"/>
    <w:rsid w:val="67E660D5"/>
    <w:rsid w:val="68BFFB5D"/>
    <w:rsid w:val="68C656C9"/>
    <w:rsid w:val="6907225D"/>
    <w:rsid w:val="69450BD9"/>
    <w:rsid w:val="69D87D83"/>
    <w:rsid w:val="69EFA8AB"/>
    <w:rsid w:val="6A1C4030"/>
    <w:rsid w:val="6A331379"/>
    <w:rsid w:val="6ADD8CA9"/>
    <w:rsid w:val="6AE70738"/>
    <w:rsid w:val="6AFA75EC"/>
    <w:rsid w:val="6C1A459F"/>
    <w:rsid w:val="6C577324"/>
    <w:rsid w:val="6CB30AE5"/>
    <w:rsid w:val="6CB74F5B"/>
    <w:rsid w:val="6DCC54DA"/>
    <w:rsid w:val="6DDE5831"/>
    <w:rsid w:val="6E311A45"/>
    <w:rsid w:val="6E3F653F"/>
    <w:rsid w:val="6E5673E4"/>
    <w:rsid w:val="6EBF31DC"/>
    <w:rsid w:val="6F1E43A6"/>
    <w:rsid w:val="6F6FA13F"/>
    <w:rsid w:val="6FDC1B6B"/>
    <w:rsid w:val="6FEBC985"/>
    <w:rsid w:val="6FFB46E7"/>
    <w:rsid w:val="70055A61"/>
    <w:rsid w:val="7064403B"/>
    <w:rsid w:val="70877D29"/>
    <w:rsid w:val="70A94143"/>
    <w:rsid w:val="70BD7BEF"/>
    <w:rsid w:val="71096990"/>
    <w:rsid w:val="7137E582"/>
    <w:rsid w:val="71544AC9"/>
    <w:rsid w:val="71551BD5"/>
    <w:rsid w:val="724C2072"/>
    <w:rsid w:val="7285473C"/>
    <w:rsid w:val="72BA6194"/>
    <w:rsid w:val="72BDD5D6"/>
    <w:rsid w:val="72C7796F"/>
    <w:rsid w:val="73634A7D"/>
    <w:rsid w:val="73685BF0"/>
    <w:rsid w:val="736A5E0C"/>
    <w:rsid w:val="73AB1F81"/>
    <w:rsid w:val="73E32D82"/>
    <w:rsid w:val="73FE9405"/>
    <w:rsid w:val="741627F4"/>
    <w:rsid w:val="74253AE1"/>
    <w:rsid w:val="74403584"/>
    <w:rsid w:val="744523D5"/>
    <w:rsid w:val="74715218"/>
    <w:rsid w:val="74FF67F2"/>
    <w:rsid w:val="75154854"/>
    <w:rsid w:val="7524023C"/>
    <w:rsid w:val="759156D7"/>
    <w:rsid w:val="759F69A7"/>
    <w:rsid w:val="75A66EA3"/>
    <w:rsid w:val="75AD1FE0"/>
    <w:rsid w:val="767E5210"/>
    <w:rsid w:val="76D90BB3"/>
    <w:rsid w:val="76F0053E"/>
    <w:rsid w:val="77112A42"/>
    <w:rsid w:val="771F0CBB"/>
    <w:rsid w:val="77297D8C"/>
    <w:rsid w:val="77B6D721"/>
    <w:rsid w:val="77E13CDF"/>
    <w:rsid w:val="77FF7A91"/>
    <w:rsid w:val="782F3570"/>
    <w:rsid w:val="79C93160"/>
    <w:rsid w:val="79E32474"/>
    <w:rsid w:val="7A6B246A"/>
    <w:rsid w:val="7A7E03EF"/>
    <w:rsid w:val="7AA02838"/>
    <w:rsid w:val="7ABC4A73"/>
    <w:rsid w:val="7B3A2568"/>
    <w:rsid w:val="7B7F06B4"/>
    <w:rsid w:val="7B910F06"/>
    <w:rsid w:val="7BAC2D3A"/>
    <w:rsid w:val="7BAC4AE8"/>
    <w:rsid w:val="7BC73221"/>
    <w:rsid w:val="7BDA3403"/>
    <w:rsid w:val="7BEFE5AF"/>
    <w:rsid w:val="7BFF0405"/>
    <w:rsid w:val="7BFF2E69"/>
    <w:rsid w:val="7C684EB3"/>
    <w:rsid w:val="7D3533F7"/>
    <w:rsid w:val="7D4551F4"/>
    <w:rsid w:val="7D584F27"/>
    <w:rsid w:val="7D7FC348"/>
    <w:rsid w:val="7D871368"/>
    <w:rsid w:val="7E3F3FA4"/>
    <w:rsid w:val="7E446BCA"/>
    <w:rsid w:val="7E6FA6F1"/>
    <w:rsid w:val="7F57384D"/>
    <w:rsid w:val="7F6F9AB7"/>
    <w:rsid w:val="7F914720"/>
    <w:rsid w:val="7FA51F7A"/>
    <w:rsid w:val="7FFD1840"/>
    <w:rsid w:val="7FFF71E4"/>
    <w:rsid w:val="99CA2AC4"/>
    <w:rsid w:val="A3F5FD25"/>
    <w:rsid w:val="B5AEBE3E"/>
    <w:rsid w:val="BAFF08A9"/>
    <w:rsid w:val="BDFF7A88"/>
    <w:rsid w:val="BF7B7D55"/>
    <w:rsid w:val="BFFE2050"/>
    <w:rsid w:val="BFFF22AE"/>
    <w:rsid w:val="C9BFDC37"/>
    <w:rsid w:val="CBDF3D90"/>
    <w:rsid w:val="CF978E08"/>
    <w:rsid w:val="D972C60F"/>
    <w:rsid w:val="DBDFFCDE"/>
    <w:rsid w:val="DEFD6D71"/>
    <w:rsid w:val="E6BE64EC"/>
    <w:rsid w:val="E7EFD6D7"/>
    <w:rsid w:val="E7FFE4CD"/>
    <w:rsid w:val="EED57A6D"/>
    <w:rsid w:val="EEFDBE63"/>
    <w:rsid w:val="EFFFD4A2"/>
    <w:rsid w:val="F0ED458F"/>
    <w:rsid w:val="F1FD127A"/>
    <w:rsid w:val="F2EF6778"/>
    <w:rsid w:val="F4FFAAAD"/>
    <w:rsid w:val="F5FF8D99"/>
    <w:rsid w:val="F7795B8F"/>
    <w:rsid w:val="F77FA21A"/>
    <w:rsid w:val="F7BE37BC"/>
    <w:rsid w:val="F9DFFB3A"/>
    <w:rsid w:val="FBA0A4B4"/>
    <w:rsid w:val="FBAD1E3F"/>
    <w:rsid w:val="FBDF3E2C"/>
    <w:rsid w:val="FDFF1A49"/>
    <w:rsid w:val="FE390D74"/>
    <w:rsid w:val="FE3EAA2C"/>
    <w:rsid w:val="FE75F506"/>
    <w:rsid w:val="FF55AE66"/>
    <w:rsid w:val="FF5EB1EE"/>
    <w:rsid w:val="FFBB7D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line="360" w:lineRule="auto"/>
      <w:ind w:firstLine="567"/>
    </w:pPr>
    <w:rPr>
      <w:rFonts w:ascii="Times New Roman" w:hAnsi="Times New Roman"/>
      <w:sz w:val="28"/>
      <w:szCs w:val="20"/>
    </w:rPr>
  </w:style>
  <w:style w:type="paragraph" w:styleId="4">
    <w:name w:val="Normal Indent"/>
    <w:basedOn w:val="1"/>
    <w:next w:val="1"/>
    <w:qFormat/>
    <w:uiPriority w:val="0"/>
    <w:pPr>
      <w:ind w:firstLine="420" w:firstLineChars="200"/>
    </w:pPr>
    <w:rPr>
      <w:rFonts w:ascii="Times New Roman" w:hAnsi="Times New Roman" w:eastAsia="宋体" w:cs="Times New Roman"/>
    </w:rPr>
  </w:style>
  <w:style w:type="paragraph" w:styleId="5">
    <w:name w:val="Body Text First Indent"/>
    <w:basedOn w:val="1"/>
    <w:next w:val="6"/>
    <w:qFormat/>
    <w:uiPriority w:val="0"/>
    <w:pPr>
      <w:ind w:firstLine="100" w:firstLineChars="100"/>
    </w:pPr>
    <w:rPr>
      <w:rFonts w:ascii="Times New Roman" w:hAnsi="Times New Roman" w:eastAsia="宋体" w:cs="Times New Roman"/>
    </w:rPr>
  </w:style>
  <w:style w:type="paragraph" w:styleId="6">
    <w:name w:val="Body Text"/>
    <w:basedOn w:val="1"/>
    <w:next w:val="7"/>
    <w:qFormat/>
    <w:uiPriority w:val="0"/>
    <w:pPr>
      <w:spacing w:after="120"/>
    </w:pPr>
    <w:rPr>
      <w:rFonts w:ascii="Times New Roman" w:hAnsi="Times New Roman" w:eastAsia="宋体" w:cs="Times New Roman"/>
    </w:rPr>
  </w:style>
  <w:style w:type="paragraph" w:styleId="7">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首行缩进"/>
    <w:basedOn w:val="1"/>
    <w:qFormat/>
    <w:uiPriority w:val="99"/>
    <w:pPr>
      <w:spacing w:line="360" w:lineRule="auto"/>
      <w:ind w:firstLine="480"/>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3C8484"/>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4311</Words>
  <Characters>4371</Characters>
  <Lines>1</Lines>
  <Paragraphs>1</Paragraphs>
  <TotalTime>73</TotalTime>
  <ScaleCrop>false</ScaleCrop>
  <LinksUpToDate>false</LinksUpToDate>
  <CharactersWithSpaces>4371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2026-01-18T20:43:00Z</dcterms:created>
  <dc:creator>小老楚</dc:creator>
  <cp:lastModifiedBy>都市盲人</cp:lastModifiedBy>
  <cp:lastPrinted>2026-03-04T08:17:00Z</cp:lastPrinted>
  <dcterms:modified xsi:type="dcterms:W3CDTF">2026-03-06T06:51:55Z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6C1E33718C7B4335B56C6E63B9BEA1DB_13</vt:lpwstr>
  </property>
  <property fmtid="{D5CDD505-2E9C-101B-9397-08002B2CF9AE}" pid="4" name="KSOTemplateDocerSaveRecord">
    <vt:lpwstr>eyJoZGlkIjoiMzY1Y2I5ZjU5YWQ4OGM0MDA1MDc1ZmUyNGJmMzUzNTQiLCJ1c2VySWQiOiIzOTIyMDM2NzkifQ==</vt:lpwstr>
  </property>
</Properties>
</file>