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0C4A" w14:textId="77777777" w:rsidR="001206AA" w:rsidRDefault="00557E39">
      <w:pPr>
        <w:rPr>
          <w:rFonts w:ascii="Times New Roman" w:eastAsia="方正黑体_GBK" w:hAnsi="Times New Roman" w:cs="Times New Roman"/>
          <w:b/>
          <w:sz w:val="40"/>
          <w:szCs w:val="40"/>
        </w:rPr>
      </w:pPr>
      <w:r>
        <w:rPr>
          <w:rFonts w:ascii="Times New Roman" w:eastAsia="方正黑体_GBK" w:hAnsi="Times New Roman" w:cs="Times New Roman"/>
          <w:bCs/>
          <w:sz w:val="32"/>
          <w:szCs w:val="36"/>
        </w:rPr>
        <w:t>附件</w:t>
      </w:r>
    </w:p>
    <w:p w14:paraId="49415783" w14:textId="77777777" w:rsidR="001206AA" w:rsidRDefault="001206AA">
      <w:pPr>
        <w:snapToGrid w:val="0"/>
        <w:spacing w:line="580" w:lineRule="exact"/>
        <w:jc w:val="center"/>
        <w:rPr>
          <w:rFonts w:ascii="Times New Roman" w:eastAsia="方正小标宋_GBK" w:hAnsi="Times New Roman" w:cs="Times New Roman"/>
          <w:kern w:val="0"/>
          <w:sz w:val="44"/>
          <w:szCs w:val="44"/>
          <w:lang w:bidi="zh-CN"/>
        </w:rPr>
      </w:pPr>
    </w:p>
    <w:p w14:paraId="6AC71441" w14:textId="77777777" w:rsidR="001206AA" w:rsidRDefault="00557E39">
      <w:pPr>
        <w:wordWrap w:val="0"/>
        <w:snapToGrid w:val="0"/>
        <w:spacing w:line="580" w:lineRule="exact"/>
        <w:jc w:val="center"/>
        <w:rPr>
          <w:rFonts w:ascii="Times New Roman" w:eastAsia="方正小标宋_GBK" w:hAnsi="Times New Roman" w:cs="Times New Roman"/>
          <w:kern w:val="0"/>
          <w:sz w:val="44"/>
          <w:szCs w:val="44"/>
          <w:lang w:bidi="zh-CN"/>
        </w:rPr>
      </w:pPr>
      <w:bookmarkStart w:id="0" w:name="_Hlk187741596"/>
      <w:r>
        <w:rPr>
          <w:rFonts w:ascii="Times New Roman" w:eastAsia="方正小标宋_GBK" w:hAnsi="Times New Roman" w:cs="Times New Roman"/>
          <w:kern w:val="0"/>
          <w:sz w:val="44"/>
          <w:szCs w:val="44"/>
          <w:lang w:bidi="zh-CN"/>
        </w:rPr>
        <w:t>泰兴市</w:t>
      </w:r>
      <w:r>
        <w:rPr>
          <w:rFonts w:ascii="Times New Roman" w:eastAsia="方正小标宋_GBK" w:hAnsi="Times New Roman" w:cs="Times New Roman"/>
          <w:kern w:val="0"/>
          <w:sz w:val="44"/>
          <w:szCs w:val="44"/>
          <w:lang w:bidi="zh-CN"/>
        </w:rPr>
        <w:t>2026-02</w:t>
      </w:r>
      <w:r>
        <w:rPr>
          <w:rFonts w:ascii="Times New Roman" w:eastAsia="方正小标宋_GBK" w:hAnsi="Times New Roman" w:cs="Times New Roman"/>
          <w:kern w:val="0"/>
          <w:sz w:val="44"/>
          <w:szCs w:val="44"/>
          <w:lang w:bidi="zh-CN"/>
        </w:rPr>
        <w:t>号土地征收成片开发方案</w:t>
      </w:r>
    </w:p>
    <w:p w14:paraId="7260EF61" w14:textId="77777777" w:rsidR="001206AA" w:rsidRDefault="00557E39">
      <w:pPr>
        <w:pStyle w:val="2"/>
        <w:spacing w:line="240" w:lineRule="auto"/>
        <w:ind w:firstLineChars="0" w:firstLine="0"/>
        <w:jc w:val="center"/>
        <w:rPr>
          <w:rFonts w:ascii="Times New Roman" w:hAnsi="Times New Roman" w:cs="Times New Roman"/>
        </w:rPr>
      </w:pPr>
      <w:r>
        <w:rPr>
          <w:rFonts w:ascii="Times New Roman" w:eastAsia="方正小标宋_GBK" w:hAnsi="Times New Roman" w:cs="Times New Roman"/>
          <w:sz w:val="44"/>
          <w:szCs w:val="44"/>
          <w:lang w:bidi="zh-CN"/>
        </w:rPr>
        <w:t>（征求意见稿）</w:t>
      </w:r>
    </w:p>
    <w:p w14:paraId="0BCC607D" w14:textId="77777777" w:rsidR="001206AA" w:rsidRDefault="001206AA">
      <w:pPr>
        <w:pStyle w:val="2"/>
        <w:spacing w:line="580" w:lineRule="exact"/>
        <w:rPr>
          <w:rFonts w:ascii="Times New Roman" w:hAnsi="Times New Roman" w:cs="Times New Roman"/>
        </w:rPr>
      </w:pPr>
    </w:p>
    <w:bookmarkEnd w:id="0"/>
    <w:p w14:paraId="3A9E65D1"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根据《中华人民共和国土地管理法》《自然资源部关于印发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土地征收成片开发标准</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的通知》（自然资</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号）、《江苏省自然资源厅关于开展土地征收成片开发方案编制工作的通知》（</w:t>
      </w:r>
      <w:proofErr w:type="gramStart"/>
      <w:r>
        <w:rPr>
          <w:rFonts w:ascii="Times New Roman" w:eastAsia="仿宋_GB2312" w:hAnsi="Times New Roman" w:cs="Times New Roman"/>
          <w:sz w:val="32"/>
          <w:szCs w:val="32"/>
        </w:rPr>
        <w:t>苏自然资函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号）、《江苏省自然资源厅关于深入推进土地征收成片开发方案编制工作的通知》（</w:t>
      </w:r>
      <w:proofErr w:type="gramStart"/>
      <w:r>
        <w:rPr>
          <w:rFonts w:ascii="Times New Roman" w:eastAsia="仿宋_GB2312" w:hAnsi="Times New Roman" w:cs="Times New Roman"/>
          <w:sz w:val="32"/>
          <w:szCs w:val="32"/>
        </w:rPr>
        <w:t>苏自然资函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939</w:t>
      </w:r>
      <w:r>
        <w:rPr>
          <w:rFonts w:ascii="Times New Roman" w:eastAsia="仿宋_GB2312" w:hAnsi="Times New Roman" w:cs="Times New Roman"/>
          <w:sz w:val="32"/>
          <w:szCs w:val="32"/>
        </w:rPr>
        <w:t>号）等法规政策要求，泰兴市人民政府组织编制了《泰兴市</w:t>
      </w:r>
      <w:r>
        <w:rPr>
          <w:rFonts w:ascii="Times New Roman" w:eastAsia="仿宋_GB2312" w:hAnsi="Times New Roman" w:cs="Times New Roman"/>
          <w:sz w:val="32"/>
          <w:szCs w:val="32"/>
        </w:rPr>
        <w:t>2026-02</w:t>
      </w:r>
      <w:r>
        <w:rPr>
          <w:rFonts w:ascii="Times New Roman" w:eastAsia="仿宋_GB2312" w:hAnsi="Times New Roman" w:cs="Times New Roman"/>
          <w:sz w:val="32"/>
          <w:szCs w:val="32"/>
        </w:rPr>
        <w:t>号土地征收成片开发方案（征求意见稿）》。现将方案主要内容公示如下：</w:t>
      </w:r>
    </w:p>
    <w:p w14:paraId="69B4C490" w14:textId="77777777" w:rsidR="001206AA" w:rsidRDefault="00557E39">
      <w:pPr>
        <w:spacing w:line="580" w:lineRule="exact"/>
        <w:ind w:firstLineChars="200" w:firstLine="640"/>
        <w:outlineLvl w:val="0"/>
        <w:rPr>
          <w:rFonts w:ascii="Times New Roman" w:eastAsia="方正仿宋_GBK" w:hAnsi="Times New Roman" w:cs="Times New Roman"/>
          <w:sz w:val="32"/>
          <w:szCs w:val="32"/>
        </w:rPr>
      </w:pPr>
      <w:r>
        <w:rPr>
          <w:rFonts w:ascii="Times New Roman" w:eastAsia="方正黑体_GBK" w:hAnsi="Times New Roman" w:cs="Times New Roman"/>
          <w:sz w:val="32"/>
          <w:szCs w:val="32"/>
        </w:rPr>
        <w:t>一、编制依据</w:t>
      </w:r>
    </w:p>
    <w:p w14:paraId="56E5A6A5" w14:textId="77777777" w:rsidR="001206AA" w:rsidRDefault="00557E39">
      <w:pPr>
        <w:numPr>
          <w:ilvl w:val="0"/>
          <w:numId w:val="4"/>
        </w:numPr>
        <w:spacing w:line="580" w:lineRule="exact"/>
        <w:rPr>
          <w:rFonts w:ascii="Times New Roman" w:eastAsia="楷体_GB2312" w:hAnsi="Times New Roman" w:cs="Times New Roman"/>
          <w:sz w:val="32"/>
          <w:szCs w:val="32"/>
        </w:rPr>
      </w:pPr>
      <w:r>
        <w:rPr>
          <w:rFonts w:ascii="Times New Roman" w:eastAsia="方正楷体_GBK" w:hAnsi="Times New Roman" w:cs="Times New Roman"/>
          <w:sz w:val="32"/>
          <w:szCs w:val="32"/>
        </w:rPr>
        <w:t>法律、法规和规章</w:t>
      </w:r>
    </w:p>
    <w:p w14:paraId="4336FC15"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《中华人民共和国民法典》；</w:t>
      </w:r>
    </w:p>
    <w:p w14:paraId="2F7179F0"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《中华人</w:t>
      </w:r>
      <w:r>
        <w:rPr>
          <w:rFonts w:ascii="Times New Roman" w:eastAsia="仿宋_GB2312" w:hAnsi="Times New Roman" w:cs="Times New Roman"/>
          <w:sz w:val="32"/>
          <w:szCs w:val="32"/>
        </w:rPr>
        <w:t>民共和国土地管理法》；</w:t>
      </w:r>
    </w:p>
    <w:p w14:paraId="2F5FAA87"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《中华人民共和国水法》；</w:t>
      </w:r>
    </w:p>
    <w:p w14:paraId="041DDBAE"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《中华人民共和国防洪法》；</w:t>
      </w:r>
    </w:p>
    <w:p w14:paraId="08816580"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《中华人民共和国选举法》；</w:t>
      </w:r>
    </w:p>
    <w:p w14:paraId="671F9752"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《中华人民共和国居民委员会组织法》；</w:t>
      </w:r>
    </w:p>
    <w:p w14:paraId="41FD0AFE"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《中华人民共和国村民委员会组织法》；</w:t>
      </w:r>
    </w:p>
    <w:p w14:paraId="239B82D3"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w:t>
      </w:r>
      <w:r>
        <w:rPr>
          <w:rFonts w:ascii="Times New Roman" w:eastAsia="仿宋_GB2312" w:hAnsi="Times New Roman" w:cs="Times New Roman"/>
          <w:sz w:val="32"/>
          <w:szCs w:val="32"/>
        </w:rPr>
        <w:t>《中华人民共和国农村集体经济组织法》；</w:t>
      </w:r>
    </w:p>
    <w:p w14:paraId="1FF6963F"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《中华人民共和国土壤污染防治法》；</w:t>
      </w:r>
    </w:p>
    <w:p w14:paraId="51EEAE33"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《中华人民共和国土地管理法实施条例》；</w:t>
      </w:r>
    </w:p>
    <w:p w14:paraId="4C9DC706"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《基本农田保护条例》；</w:t>
      </w:r>
    </w:p>
    <w:p w14:paraId="5BE90B9E"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《江苏省土地管理条例》；</w:t>
      </w:r>
    </w:p>
    <w:p w14:paraId="166F8F75"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《江苏省河道管理条例》；</w:t>
      </w:r>
    </w:p>
    <w:p w14:paraId="50DF33ED"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《江苏省土壤污染防治条例》；</w:t>
      </w:r>
    </w:p>
    <w:p w14:paraId="1DD7DC53"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《泰州市历史文化名城名镇保护条例》；</w:t>
      </w:r>
    </w:p>
    <w:p w14:paraId="7D2C0BBA"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《污染地块土壤环境管理办法（试行）》（中华人民共</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和国环境保护部令第</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号）；</w:t>
      </w:r>
    </w:p>
    <w:p w14:paraId="1DCAEBE3"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《江苏省实施</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中华人民共和国村民委员会组织法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办法》；</w:t>
      </w:r>
    </w:p>
    <w:p w14:paraId="0CC82D1F"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《江苏省水域保护办法》；</w:t>
      </w:r>
    </w:p>
    <w:p w14:paraId="7677C6F0" w14:textId="77777777" w:rsidR="001206AA" w:rsidRDefault="00557E39">
      <w:pPr>
        <w:numPr>
          <w:ilvl w:val="0"/>
          <w:numId w:val="5"/>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《江苏省建设项目占用水域管理办法》。</w:t>
      </w:r>
    </w:p>
    <w:p w14:paraId="6C17ECBB" w14:textId="77777777" w:rsidR="001206AA" w:rsidRDefault="00557E39">
      <w:pPr>
        <w:numPr>
          <w:ilvl w:val="0"/>
          <w:numId w:val="4"/>
        </w:numPr>
        <w:spacing w:line="580" w:lineRule="exact"/>
        <w:rPr>
          <w:rFonts w:ascii="Times New Roman" w:eastAsia="方正楷体_GBK" w:hAnsi="Times New Roman" w:cs="Times New Roman"/>
          <w:sz w:val="32"/>
          <w:szCs w:val="32"/>
        </w:rPr>
      </w:pPr>
      <w:bookmarkStart w:id="1" w:name="_Hlk135058424"/>
      <w:r>
        <w:rPr>
          <w:rFonts w:ascii="Times New Roman" w:eastAsia="方正楷体_GBK" w:hAnsi="Times New Roman" w:cs="Times New Roman"/>
          <w:sz w:val="32"/>
          <w:szCs w:val="32"/>
        </w:rPr>
        <w:t>政策文件</w:t>
      </w:r>
    </w:p>
    <w:p w14:paraId="6CE1B266"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bookmarkStart w:id="2" w:name="_Hlk144719467"/>
      <w:bookmarkStart w:id="3" w:name="_Hlk135320608"/>
      <w:r>
        <w:rPr>
          <w:rFonts w:ascii="Times New Roman" w:eastAsia="仿宋_GB2312" w:hAnsi="Times New Roman" w:cs="Times New Roman"/>
          <w:sz w:val="32"/>
          <w:szCs w:val="32"/>
        </w:rPr>
        <w:t>《自然资源部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生态环境部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国家林业和草原局关于加强生态保护红线管理的通知（试行）》（</w:t>
      </w:r>
      <w:proofErr w:type="gramStart"/>
      <w:r>
        <w:rPr>
          <w:rFonts w:ascii="Times New Roman" w:eastAsia="仿宋_GB2312" w:hAnsi="Times New Roman" w:cs="Times New Roman"/>
          <w:sz w:val="32"/>
          <w:szCs w:val="32"/>
        </w:rPr>
        <w:t>自然资发〔</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142</w:t>
      </w:r>
      <w:r>
        <w:rPr>
          <w:rFonts w:ascii="Times New Roman" w:eastAsia="仿宋_GB2312" w:hAnsi="Times New Roman" w:cs="Times New Roman"/>
          <w:sz w:val="32"/>
          <w:szCs w:val="32"/>
        </w:rPr>
        <w:t>号）；</w:t>
      </w:r>
    </w:p>
    <w:p w14:paraId="2985E59F"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《自然资源部关于印发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土地征收成片开发标准</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的通知》（自然资</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号）；</w:t>
      </w:r>
    </w:p>
    <w:p w14:paraId="10C6D444"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《自然资源部关于进一步做好用地用海要素保障的通知》（</w:t>
      </w:r>
      <w:proofErr w:type="gramStart"/>
      <w:r>
        <w:rPr>
          <w:rFonts w:ascii="Times New Roman" w:eastAsia="仿宋_GB2312" w:hAnsi="Times New Roman" w:cs="Times New Roman"/>
          <w:sz w:val="32"/>
          <w:szCs w:val="32"/>
        </w:rPr>
        <w:t>自然资发〔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89</w:t>
      </w:r>
      <w:r>
        <w:rPr>
          <w:rFonts w:ascii="Times New Roman" w:eastAsia="仿宋_GB2312" w:hAnsi="Times New Roman" w:cs="Times New Roman"/>
          <w:sz w:val="32"/>
          <w:szCs w:val="32"/>
        </w:rPr>
        <w:t>号）；</w:t>
      </w:r>
    </w:p>
    <w:p w14:paraId="36C9DD77"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《自然资源部</w:t>
      </w:r>
      <w:r>
        <w:rPr>
          <w:rFonts w:ascii="Times New Roman" w:eastAsia="仿宋_GB2312" w:hAnsi="Times New Roman" w:cs="Times New Roman"/>
          <w:sz w:val="32"/>
          <w:szCs w:val="32"/>
        </w:rPr>
        <w:t>关于在经济发展用地要素保障工作中严守底线的通知》（</w:t>
      </w:r>
      <w:proofErr w:type="gramStart"/>
      <w:r>
        <w:rPr>
          <w:rFonts w:ascii="Times New Roman" w:eastAsia="仿宋_GB2312" w:hAnsi="Times New Roman" w:cs="Times New Roman"/>
          <w:sz w:val="32"/>
          <w:szCs w:val="32"/>
        </w:rPr>
        <w:t>自然资发〔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90</w:t>
      </w:r>
      <w:r>
        <w:rPr>
          <w:rFonts w:ascii="Times New Roman" w:eastAsia="仿宋_GB2312" w:hAnsi="Times New Roman" w:cs="Times New Roman"/>
          <w:sz w:val="32"/>
          <w:szCs w:val="32"/>
        </w:rPr>
        <w:t>号）；</w:t>
      </w:r>
    </w:p>
    <w:p w14:paraId="7941F0E0"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《自然资源部关于印发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国土空间调查、规划、用途管制用地用海分类指南</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w:t>
      </w:r>
      <w:proofErr w:type="gramStart"/>
      <w:r>
        <w:rPr>
          <w:rFonts w:ascii="Times New Roman" w:eastAsia="仿宋_GB2312" w:hAnsi="Times New Roman" w:cs="Times New Roman"/>
          <w:sz w:val="32"/>
          <w:szCs w:val="32"/>
        </w:rPr>
        <w:t>自然资发〔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234</w:t>
      </w:r>
      <w:r>
        <w:rPr>
          <w:rFonts w:ascii="Times New Roman" w:eastAsia="仿宋_GB2312" w:hAnsi="Times New Roman" w:cs="Times New Roman"/>
          <w:sz w:val="32"/>
          <w:szCs w:val="32"/>
        </w:rPr>
        <w:t>号）；</w:t>
      </w:r>
    </w:p>
    <w:p w14:paraId="71C2A8A0"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《自然资源部关于进一步改进优化能源、交通、水利等重大建设项目用地组卷报批工作的通知》（</w:t>
      </w:r>
      <w:proofErr w:type="gramStart"/>
      <w:r>
        <w:rPr>
          <w:rFonts w:ascii="Times New Roman" w:eastAsia="仿宋_GB2312" w:hAnsi="Times New Roman" w:cs="Times New Roman"/>
          <w:sz w:val="32"/>
          <w:szCs w:val="32"/>
        </w:rPr>
        <w:t>自然资发〔</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36</w:t>
      </w:r>
      <w:r>
        <w:rPr>
          <w:rFonts w:ascii="Times New Roman" w:eastAsia="仿宋_GB2312" w:hAnsi="Times New Roman" w:cs="Times New Roman"/>
          <w:sz w:val="32"/>
          <w:szCs w:val="32"/>
        </w:rPr>
        <w:t>号）；</w:t>
      </w:r>
    </w:p>
    <w:p w14:paraId="53CBE7A7"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《自然资源部办公厅关于北京等省（区、市）启用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三区三线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划定成果作为报批建设项目用地用海依据的函》（自然资办函〔</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2207</w:t>
      </w:r>
      <w:r>
        <w:rPr>
          <w:rFonts w:ascii="Times New Roman" w:eastAsia="仿宋_GB2312" w:hAnsi="Times New Roman" w:cs="Times New Roman"/>
          <w:sz w:val="32"/>
          <w:szCs w:val="32"/>
        </w:rPr>
        <w:t>号）；</w:t>
      </w:r>
    </w:p>
    <w:p w14:paraId="5082D04D"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《自然资源部办公厅关于更新永久基本农田数据库的函》（自然资办函</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544</w:t>
      </w:r>
      <w:r>
        <w:rPr>
          <w:rFonts w:ascii="Times New Roman" w:eastAsia="仿宋_GB2312" w:hAnsi="Times New Roman" w:cs="Times New Roman"/>
          <w:sz w:val="32"/>
          <w:szCs w:val="32"/>
        </w:rPr>
        <w:t>号）；</w:t>
      </w:r>
    </w:p>
    <w:p w14:paraId="457E039F"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《省政府关于江苏省骨干河道名录（</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年修订）的批复》（苏政复〔</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号）；</w:t>
      </w:r>
    </w:p>
    <w:p w14:paraId="0E5DC8F3"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《省政府关于印发江苏省生态空间管控区域规划的通知》（苏政发〔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w:t>
      </w:r>
    </w:p>
    <w:p w14:paraId="3EF2D21E"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《省政府关于印发江苏省承接国家委托用地审批权试点实施方案的通知》（苏政发〔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号）；</w:t>
      </w:r>
    </w:p>
    <w:p w14:paraId="04739973"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《江苏省人民政府关于印发江苏省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生态环境分区管控方案的通知》（苏政发〔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49</w:t>
      </w:r>
      <w:r>
        <w:rPr>
          <w:rFonts w:ascii="Times New Roman" w:eastAsia="仿宋_GB2312" w:hAnsi="Times New Roman" w:cs="Times New Roman"/>
          <w:sz w:val="32"/>
          <w:szCs w:val="32"/>
        </w:rPr>
        <w:t>号）；</w:t>
      </w:r>
    </w:p>
    <w:p w14:paraId="61D28E5E"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《省政府关于印发江苏省被征地农民社会保障办法的通知》（苏政发〔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87</w:t>
      </w:r>
      <w:r>
        <w:rPr>
          <w:rFonts w:ascii="Times New Roman" w:eastAsia="仿宋_GB2312" w:hAnsi="Times New Roman" w:cs="Times New Roman"/>
          <w:sz w:val="32"/>
          <w:szCs w:val="32"/>
        </w:rPr>
        <w:t>号）；</w:t>
      </w:r>
    </w:p>
    <w:p w14:paraId="65AC91D3"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《省政府关于加快建立健全绿色低碳循环</w:t>
      </w:r>
      <w:r>
        <w:rPr>
          <w:rFonts w:ascii="Times New Roman" w:eastAsia="仿宋_GB2312" w:hAnsi="Times New Roman" w:cs="Times New Roman"/>
          <w:sz w:val="32"/>
          <w:szCs w:val="32"/>
        </w:rPr>
        <w:t>发展经济体系的实施意见》（苏政发〔</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w:t>
      </w:r>
    </w:p>
    <w:p w14:paraId="28633826"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《中共江苏省委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江苏省人民政府印发关于促进经济持</w:t>
      </w:r>
      <w:r>
        <w:rPr>
          <w:rFonts w:ascii="Times New Roman" w:eastAsia="仿宋_GB2312" w:hAnsi="Times New Roman" w:cs="Times New Roman"/>
          <w:sz w:val="32"/>
          <w:szCs w:val="32"/>
        </w:rPr>
        <w:lastRenderedPageBreak/>
        <w:t>续回升向好的若干政策措施的通知》（苏发〔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w:t>
      </w:r>
    </w:p>
    <w:p w14:paraId="016DE43F"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《省政府关于重新公布江苏省征地区片综合地价最低标准的通知》（苏政</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号）；</w:t>
      </w:r>
    </w:p>
    <w:p w14:paraId="6FDA0193"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《省政府办公厅关于印发江苏省生态空间管控区域调整管理办法的通知》（苏政办发〔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w:t>
      </w:r>
    </w:p>
    <w:p w14:paraId="197B698E"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《省政府办公厅关于公布江苏省湖泊保护名录（</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修编）》（苏政办发〔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号）；</w:t>
      </w:r>
    </w:p>
    <w:p w14:paraId="2E8D230F"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《省政府办公厅关于印发江苏省生态空间管控区域监督管理办法的通知》（苏政办发〔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号）；</w:t>
      </w:r>
    </w:p>
    <w:p w14:paraId="7786D24F"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《江苏省人民政府办公厅关于进一步推进工业用地提质增效的意见</w:t>
      </w:r>
      <w:r>
        <w:rPr>
          <w:rFonts w:ascii="Times New Roman" w:eastAsia="仿宋_GB2312" w:hAnsi="Times New Roman" w:cs="Times New Roman"/>
          <w:sz w:val="32"/>
          <w:szCs w:val="32"/>
        </w:rPr>
        <w:t>(</w:t>
      </w:r>
      <w:r>
        <w:rPr>
          <w:rFonts w:ascii="Times New Roman" w:eastAsia="仿宋_GB2312" w:hAnsi="Times New Roman" w:cs="Times New Roman"/>
          <w:sz w:val="32"/>
          <w:szCs w:val="32"/>
        </w:rPr>
        <w:t>苏政办发〔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0A3F1511"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《省政府办公厅关于印发江苏省深入打好净土保卫战实施方案的通知》（苏政办发〔</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78</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14:paraId="3117E419"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《江苏省自然资源厅关于开展土地征收成片开发方案编制工作的通知》（</w:t>
      </w:r>
      <w:proofErr w:type="gramStart"/>
      <w:r>
        <w:rPr>
          <w:rFonts w:ascii="Times New Roman" w:eastAsia="仿宋_GB2312" w:hAnsi="Times New Roman" w:cs="Times New Roman"/>
          <w:sz w:val="32"/>
          <w:szCs w:val="32"/>
        </w:rPr>
        <w:t>苏自然资函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号）；</w:t>
      </w:r>
    </w:p>
    <w:p w14:paraId="7C967263"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《江苏省自然资源厅关于在建设用地</w:t>
      </w:r>
      <w:r>
        <w:rPr>
          <w:rFonts w:ascii="Times New Roman" w:eastAsia="仿宋_GB2312" w:hAnsi="Times New Roman" w:cs="Times New Roman"/>
          <w:sz w:val="32"/>
          <w:szCs w:val="32"/>
        </w:rPr>
        <w:t>审查中严格落实生态空间管控要求的通知》（</w:t>
      </w:r>
      <w:proofErr w:type="gramStart"/>
      <w:r>
        <w:rPr>
          <w:rFonts w:ascii="Times New Roman" w:eastAsia="仿宋_GB2312" w:hAnsi="Times New Roman" w:cs="Times New Roman"/>
          <w:sz w:val="32"/>
          <w:szCs w:val="32"/>
        </w:rPr>
        <w:t>苏自然资函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53</w:t>
      </w:r>
      <w:r>
        <w:rPr>
          <w:rFonts w:ascii="Times New Roman" w:eastAsia="仿宋_GB2312" w:hAnsi="Times New Roman" w:cs="Times New Roman"/>
          <w:sz w:val="32"/>
          <w:szCs w:val="32"/>
        </w:rPr>
        <w:t>号）；</w:t>
      </w:r>
    </w:p>
    <w:p w14:paraId="32AF41F7"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《江苏省自然资源厅关于加快推进土地征收成片开发方案编制工作的通知》（</w:t>
      </w:r>
      <w:proofErr w:type="gramStart"/>
      <w:r>
        <w:rPr>
          <w:rFonts w:ascii="Times New Roman" w:eastAsia="仿宋_GB2312" w:hAnsi="Times New Roman" w:cs="Times New Roman"/>
          <w:sz w:val="32"/>
          <w:szCs w:val="32"/>
        </w:rPr>
        <w:t>苏自然资发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138</w:t>
      </w:r>
      <w:r>
        <w:rPr>
          <w:rFonts w:ascii="Times New Roman" w:eastAsia="仿宋_GB2312" w:hAnsi="Times New Roman" w:cs="Times New Roman"/>
          <w:sz w:val="32"/>
          <w:szCs w:val="32"/>
        </w:rPr>
        <w:t>号）；</w:t>
      </w:r>
    </w:p>
    <w:p w14:paraId="08828045"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《江苏省自然资源厅关于印发进一步推进工业用地提质增效实施细则的通知》（</w:t>
      </w:r>
      <w:proofErr w:type="gramStart"/>
      <w:r>
        <w:rPr>
          <w:rFonts w:ascii="Times New Roman" w:eastAsia="仿宋_GB2312" w:hAnsi="Times New Roman" w:cs="Times New Roman"/>
          <w:sz w:val="32"/>
          <w:szCs w:val="32"/>
        </w:rPr>
        <w:t>苏自然资发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264</w:t>
      </w:r>
      <w:r>
        <w:rPr>
          <w:rFonts w:ascii="Times New Roman" w:eastAsia="仿宋_GB2312" w:hAnsi="Times New Roman" w:cs="Times New Roman"/>
          <w:sz w:val="32"/>
          <w:szCs w:val="32"/>
        </w:rPr>
        <w:t>号）；</w:t>
      </w:r>
    </w:p>
    <w:p w14:paraId="117F7AE3"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江苏省土地征收成片开发方案编制指南（试行）</w:t>
      </w:r>
      <w:r>
        <w:rPr>
          <w:rFonts w:ascii="Times New Roman" w:eastAsia="仿宋_GB2312" w:hAnsi="Times New Roman" w:cs="Times New Roman"/>
          <w:sz w:val="32"/>
          <w:szCs w:val="32"/>
        </w:rPr>
        <w:t xml:space="preserve">&gt; </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江苏省土地征收成片开发方案审查</w:t>
      </w:r>
      <w:r>
        <w:rPr>
          <w:rFonts w:ascii="Times New Roman" w:eastAsia="仿宋_GB2312" w:hAnsi="Times New Roman" w:cs="Times New Roman"/>
          <w:sz w:val="32"/>
          <w:szCs w:val="32"/>
        </w:rPr>
        <w:lastRenderedPageBreak/>
        <w:t>要点</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w:t>
      </w:r>
      <w:proofErr w:type="gramStart"/>
      <w:r>
        <w:rPr>
          <w:rFonts w:ascii="Times New Roman" w:eastAsia="仿宋_GB2312" w:hAnsi="Times New Roman" w:cs="Times New Roman"/>
          <w:sz w:val="32"/>
          <w:szCs w:val="32"/>
        </w:rPr>
        <w:t>苏自然资函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1028</w:t>
      </w:r>
      <w:r>
        <w:rPr>
          <w:rFonts w:ascii="Times New Roman" w:eastAsia="仿宋_GB2312" w:hAnsi="Times New Roman" w:cs="Times New Roman"/>
          <w:sz w:val="32"/>
          <w:szCs w:val="32"/>
        </w:rPr>
        <w:t>号）；</w:t>
      </w:r>
    </w:p>
    <w:p w14:paraId="629A0332"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江苏省农业农村厅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江苏省林业局关于加强耕地保护严格耕地用途管制的通知》（</w:t>
      </w:r>
      <w:proofErr w:type="gramStart"/>
      <w:r>
        <w:rPr>
          <w:rFonts w:ascii="Times New Roman" w:eastAsia="仿宋_GB2312" w:hAnsi="Times New Roman" w:cs="Times New Roman"/>
          <w:sz w:val="32"/>
          <w:szCs w:val="32"/>
        </w:rPr>
        <w:t>苏自然资发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178</w:t>
      </w:r>
      <w:r>
        <w:rPr>
          <w:rFonts w:ascii="Times New Roman" w:eastAsia="仿宋_GB2312" w:hAnsi="Times New Roman" w:cs="Times New Roman"/>
          <w:sz w:val="32"/>
          <w:szCs w:val="32"/>
        </w:rPr>
        <w:t>号）；</w:t>
      </w:r>
    </w:p>
    <w:p w14:paraId="49797FDD"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《江苏省自然资源厅关于进一步做好用地用海要素保障的通知》（</w:t>
      </w:r>
      <w:proofErr w:type="gramStart"/>
      <w:r>
        <w:rPr>
          <w:rFonts w:ascii="Times New Roman" w:eastAsia="仿宋_GB2312" w:hAnsi="Times New Roman" w:cs="Times New Roman"/>
          <w:sz w:val="32"/>
          <w:szCs w:val="32"/>
        </w:rPr>
        <w:t>苏自然资发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号）；</w:t>
      </w:r>
    </w:p>
    <w:p w14:paraId="552B0DF0"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《江苏省自然资源厅关于深化推进产业园用地提质增效的通知》（</w:t>
      </w:r>
      <w:proofErr w:type="gramStart"/>
      <w:r>
        <w:rPr>
          <w:rFonts w:ascii="Times New Roman" w:eastAsia="仿宋_GB2312" w:hAnsi="Times New Roman" w:cs="Times New Roman"/>
          <w:sz w:val="32"/>
          <w:szCs w:val="32"/>
        </w:rPr>
        <w:t>苏自然资发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322</w:t>
      </w:r>
      <w:r>
        <w:rPr>
          <w:rFonts w:ascii="Times New Roman" w:eastAsia="仿宋_GB2312" w:hAnsi="Times New Roman" w:cs="Times New Roman"/>
          <w:sz w:val="32"/>
          <w:szCs w:val="32"/>
        </w:rPr>
        <w:t>号）；</w:t>
      </w:r>
    </w:p>
    <w:p w14:paraId="6FC2830E"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《江苏省自然资源厅关于泰兴市</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年度生态空间管控区域调整方案的复函》（</w:t>
      </w:r>
      <w:proofErr w:type="gramStart"/>
      <w:r>
        <w:rPr>
          <w:rFonts w:ascii="Times New Roman" w:eastAsia="仿宋_GB2312" w:hAnsi="Times New Roman" w:cs="Times New Roman"/>
          <w:sz w:val="32"/>
          <w:szCs w:val="32"/>
        </w:rPr>
        <w:t>苏自然资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432</w:t>
      </w:r>
      <w:r>
        <w:rPr>
          <w:rFonts w:ascii="Times New Roman" w:eastAsia="仿宋_GB2312" w:hAnsi="Times New Roman" w:cs="Times New Roman"/>
          <w:sz w:val="32"/>
          <w:szCs w:val="32"/>
        </w:rPr>
        <w:t>号）；</w:t>
      </w:r>
    </w:p>
    <w:p w14:paraId="142AAC3F"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江苏省自然资源厅关于进一步做好城镇开发边界管理的通知》（</w:t>
      </w:r>
      <w:proofErr w:type="gramStart"/>
      <w:r>
        <w:rPr>
          <w:rFonts w:ascii="Times New Roman" w:eastAsia="仿宋_GB2312" w:hAnsi="Times New Roman" w:cs="Times New Roman"/>
          <w:sz w:val="32"/>
          <w:szCs w:val="32"/>
        </w:rPr>
        <w:t>苏自然资发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122</w:t>
      </w:r>
      <w:r>
        <w:rPr>
          <w:rFonts w:ascii="Times New Roman" w:eastAsia="仿宋_GB2312" w:hAnsi="Times New Roman" w:cs="Times New Roman"/>
          <w:sz w:val="32"/>
          <w:szCs w:val="32"/>
        </w:rPr>
        <w:t>号）；</w:t>
      </w:r>
    </w:p>
    <w:p w14:paraId="441E9F9D"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《江苏省自然资源厅转发自然资源部办公厅关于更新永久基本农田数据库的通知》；</w:t>
      </w:r>
    </w:p>
    <w:p w14:paraId="65DE22C0"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《江苏省自然资源厅关于深入推进土地征收成片开发方案编制工作的通知》（</w:t>
      </w:r>
      <w:proofErr w:type="gramStart"/>
      <w:r>
        <w:rPr>
          <w:rFonts w:ascii="Times New Roman" w:eastAsia="仿宋_GB2312" w:hAnsi="Times New Roman" w:cs="Times New Roman"/>
          <w:sz w:val="32"/>
          <w:szCs w:val="32"/>
        </w:rPr>
        <w:t>苏自然资函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939</w:t>
      </w:r>
      <w:r>
        <w:rPr>
          <w:rFonts w:ascii="Times New Roman" w:eastAsia="仿宋_GB2312" w:hAnsi="Times New Roman" w:cs="Times New Roman"/>
          <w:sz w:val="32"/>
          <w:szCs w:val="32"/>
        </w:rPr>
        <w:t>号）；</w:t>
      </w:r>
    </w:p>
    <w:p w14:paraId="15E7FBFD"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《江苏省农业农村厅关于做好土地征收成片开发等占用高标准农田补建工作的通知》（苏农建〔</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号）；</w:t>
      </w:r>
    </w:p>
    <w:p w14:paraId="7FBAE363"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《关于印发江苏省重大项目建设审批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一件事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改革实施方案的通知》（苏政务办发〔</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号）；</w:t>
      </w:r>
    </w:p>
    <w:p w14:paraId="3FB23BEF"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《江苏省人力资源社会保障厅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省财政厅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省自然资源厅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省农业农村厅关于贯彻落实江苏省被征地农民社会保障办法的通知》（苏</w:t>
      </w:r>
      <w:proofErr w:type="gramStart"/>
      <w:r>
        <w:rPr>
          <w:rFonts w:ascii="Times New Roman" w:eastAsia="仿宋_GB2312" w:hAnsi="Times New Roman" w:cs="Times New Roman"/>
          <w:sz w:val="32"/>
          <w:szCs w:val="32"/>
        </w:rPr>
        <w:t>人社函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85</w:t>
      </w:r>
      <w:r>
        <w:rPr>
          <w:rFonts w:ascii="Times New Roman" w:eastAsia="仿宋_GB2312" w:hAnsi="Times New Roman" w:cs="Times New Roman"/>
          <w:sz w:val="32"/>
          <w:szCs w:val="32"/>
        </w:rPr>
        <w:t>号）；</w:t>
      </w:r>
    </w:p>
    <w:p w14:paraId="33B21A1D"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《市政府关于印发泰州市被征地农民社会保障实施办法的通知》（泰政</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w:t>
      </w:r>
    </w:p>
    <w:p w14:paraId="52A09FA7"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《市政府关于公布泰州市征地地上附着物和青苗等补偿标准的通知》（</w:t>
      </w:r>
      <w:proofErr w:type="gramStart"/>
      <w:r>
        <w:rPr>
          <w:rFonts w:ascii="Times New Roman" w:eastAsia="仿宋_GB2312" w:hAnsi="Times New Roman" w:cs="Times New Roman"/>
          <w:sz w:val="32"/>
          <w:szCs w:val="32"/>
        </w:rPr>
        <w:t>泰政发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104</w:t>
      </w:r>
      <w:r>
        <w:rPr>
          <w:rFonts w:ascii="Times New Roman" w:eastAsia="仿宋_GB2312" w:hAnsi="Times New Roman" w:cs="Times New Roman"/>
          <w:sz w:val="32"/>
          <w:szCs w:val="32"/>
        </w:rPr>
        <w:t>号）；</w:t>
      </w:r>
    </w:p>
    <w:p w14:paraId="7719B0B1" w14:textId="77777777" w:rsidR="001206AA" w:rsidRDefault="00557E39">
      <w:pPr>
        <w:numPr>
          <w:ilvl w:val="0"/>
          <w:numId w:val="6"/>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《市政府关于重新公布泰兴市征地区片综合地价执行标准的通知》（</w:t>
      </w:r>
      <w:proofErr w:type="gramStart"/>
      <w:r>
        <w:rPr>
          <w:rFonts w:ascii="Times New Roman" w:eastAsia="仿宋_GB2312" w:hAnsi="Times New Roman" w:cs="Times New Roman"/>
          <w:sz w:val="32"/>
          <w:szCs w:val="32"/>
        </w:rPr>
        <w:t>泰政发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w:t>
      </w:r>
    </w:p>
    <w:bookmarkEnd w:id="1"/>
    <w:bookmarkEnd w:id="2"/>
    <w:bookmarkEnd w:id="3"/>
    <w:p w14:paraId="2F9C6D23" w14:textId="77777777" w:rsidR="001206AA" w:rsidRDefault="00557E39">
      <w:pPr>
        <w:numPr>
          <w:ilvl w:val="0"/>
          <w:numId w:val="4"/>
        </w:numPr>
        <w:spacing w:line="58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行业标准</w:t>
      </w:r>
    </w:p>
    <w:p w14:paraId="1F13B4DA" w14:textId="77777777" w:rsidR="001206AA" w:rsidRDefault="00557E39">
      <w:pPr>
        <w:numPr>
          <w:ilvl w:val="0"/>
          <w:numId w:val="7"/>
        </w:numPr>
        <w:spacing w:line="580" w:lineRule="exact"/>
        <w:ind w:firstLineChars="200" w:firstLine="640"/>
        <w:rPr>
          <w:rFonts w:ascii="Times New Roman" w:eastAsia="仿宋_GB2312" w:hAnsi="Times New Roman" w:cs="Times New Roman"/>
          <w:sz w:val="32"/>
          <w:szCs w:val="32"/>
        </w:rPr>
      </w:pPr>
      <w:bookmarkStart w:id="4" w:name="_Toc27448"/>
      <w:bookmarkStart w:id="5" w:name="_Toc10984"/>
      <w:bookmarkStart w:id="6" w:name="_Toc7164"/>
      <w:bookmarkStart w:id="7" w:name="_Toc1675"/>
      <w:bookmarkStart w:id="8" w:name="_Toc2317"/>
      <w:bookmarkStart w:id="9" w:name="_Toc13956"/>
      <w:bookmarkStart w:id="10" w:name="_Toc17114"/>
      <w:r>
        <w:rPr>
          <w:rFonts w:ascii="Times New Roman" w:eastAsia="仿宋_GB2312" w:hAnsi="Times New Roman" w:cs="Times New Roman"/>
          <w:sz w:val="32"/>
          <w:szCs w:val="32"/>
        </w:rPr>
        <w:t>《土地基本术语》（</w:t>
      </w:r>
      <w:r>
        <w:rPr>
          <w:rFonts w:ascii="Times New Roman" w:eastAsia="仿宋_GB2312" w:hAnsi="Times New Roman" w:cs="Times New Roman"/>
          <w:sz w:val="32"/>
          <w:szCs w:val="32"/>
        </w:rPr>
        <w:t>GB/T 19231-2003</w:t>
      </w:r>
      <w:r>
        <w:rPr>
          <w:rFonts w:ascii="Times New Roman" w:eastAsia="仿宋_GB2312" w:hAnsi="Times New Roman" w:cs="Times New Roman"/>
          <w:sz w:val="32"/>
          <w:szCs w:val="32"/>
        </w:rPr>
        <w:t>）；</w:t>
      </w:r>
    </w:p>
    <w:p w14:paraId="520DE091" w14:textId="77777777" w:rsidR="001206AA" w:rsidRDefault="00557E39">
      <w:pPr>
        <w:numPr>
          <w:ilvl w:val="0"/>
          <w:numId w:val="7"/>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《土地勘测定界规程》（</w:t>
      </w:r>
      <w:r>
        <w:rPr>
          <w:rFonts w:ascii="Times New Roman" w:eastAsia="仿宋_GB2312" w:hAnsi="Times New Roman" w:cs="Times New Roman"/>
          <w:sz w:val="32"/>
          <w:szCs w:val="32"/>
        </w:rPr>
        <w:t xml:space="preserve">TD/T </w:t>
      </w:r>
      <w:r>
        <w:rPr>
          <w:rFonts w:ascii="Times New Roman" w:eastAsia="仿宋_GB2312" w:hAnsi="Times New Roman" w:cs="Times New Roman"/>
          <w:sz w:val="32"/>
          <w:szCs w:val="32"/>
        </w:rPr>
        <w:t>1008-2007</w:t>
      </w:r>
      <w:r>
        <w:rPr>
          <w:rFonts w:ascii="Times New Roman" w:eastAsia="仿宋_GB2312" w:hAnsi="Times New Roman" w:cs="Times New Roman"/>
          <w:sz w:val="32"/>
          <w:szCs w:val="32"/>
        </w:rPr>
        <w:t>）；</w:t>
      </w:r>
    </w:p>
    <w:p w14:paraId="796CFE8D" w14:textId="77777777" w:rsidR="001206AA" w:rsidRDefault="00557E39">
      <w:pPr>
        <w:numPr>
          <w:ilvl w:val="0"/>
          <w:numId w:val="7"/>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《城市用地分类与规划建设用地标准》（</w:t>
      </w:r>
      <w:r>
        <w:rPr>
          <w:rFonts w:ascii="Times New Roman" w:eastAsia="仿宋_GB2312" w:hAnsi="Times New Roman" w:cs="Times New Roman"/>
          <w:sz w:val="32"/>
          <w:szCs w:val="32"/>
        </w:rPr>
        <w:t>GB50137-2011</w:t>
      </w:r>
      <w:r>
        <w:rPr>
          <w:rFonts w:ascii="Times New Roman" w:eastAsia="仿宋_GB2312" w:hAnsi="Times New Roman" w:cs="Times New Roman"/>
          <w:sz w:val="32"/>
          <w:szCs w:val="32"/>
        </w:rPr>
        <w:t>）；</w:t>
      </w:r>
    </w:p>
    <w:p w14:paraId="656E6C4B" w14:textId="77777777" w:rsidR="001206AA" w:rsidRDefault="00557E39">
      <w:pPr>
        <w:numPr>
          <w:ilvl w:val="0"/>
          <w:numId w:val="7"/>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《第三次全国国土调查技术规程》（</w:t>
      </w:r>
      <w:r>
        <w:rPr>
          <w:rFonts w:ascii="Times New Roman" w:eastAsia="仿宋_GB2312" w:hAnsi="Times New Roman" w:cs="Times New Roman"/>
          <w:sz w:val="32"/>
          <w:szCs w:val="32"/>
        </w:rPr>
        <w:t>TD/T 1055-2019</w:t>
      </w:r>
      <w:r>
        <w:rPr>
          <w:rFonts w:ascii="Times New Roman" w:eastAsia="仿宋_GB2312" w:hAnsi="Times New Roman" w:cs="Times New Roman"/>
          <w:sz w:val="32"/>
          <w:szCs w:val="32"/>
        </w:rPr>
        <w:t>）；</w:t>
      </w:r>
    </w:p>
    <w:p w14:paraId="583D69DD" w14:textId="77777777" w:rsidR="001206AA" w:rsidRDefault="00557E39">
      <w:pPr>
        <w:numPr>
          <w:ilvl w:val="0"/>
          <w:numId w:val="7"/>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《国土空间调查、规划、用途管制用地用海分类指南》；</w:t>
      </w:r>
    </w:p>
    <w:p w14:paraId="47131D59" w14:textId="77777777" w:rsidR="001206AA" w:rsidRDefault="00557E39">
      <w:pPr>
        <w:numPr>
          <w:ilvl w:val="0"/>
          <w:numId w:val="7"/>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《江苏省城镇开发边界内详细规划编制指南（试行）》；</w:t>
      </w:r>
    </w:p>
    <w:p w14:paraId="4359C5E9" w14:textId="77777777" w:rsidR="001206AA" w:rsidRDefault="00557E39">
      <w:pPr>
        <w:numPr>
          <w:ilvl w:val="0"/>
          <w:numId w:val="7"/>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《江苏省土地征收成片开发方案编制指南（试行）》。</w:t>
      </w:r>
    </w:p>
    <w:bookmarkEnd w:id="4"/>
    <w:bookmarkEnd w:id="5"/>
    <w:bookmarkEnd w:id="6"/>
    <w:bookmarkEnd w:id="7"/>
    <w:bookmarkEnd w:id="8"/>
    <w:bookmarkEnd w:id="9"/>
    <w:bookmarkEnd w:id="10"/>
    <w:p w14:paraId="660A48AB" w14:textId="77777777" w:rsidR="001206AA" w:rsidRDefault="00557E39">
      <w:pPr>
        <w:numPr>
          <w:ilvl w:val="0"/>
          <w:numId w:val="4"/>
        </w:numPr>
        <w:spacing w:line="58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相关规划</w:t>
      </w:r>
    </w:p>
    <w:p w14:paraId="3392BDD6" w14:textId="77777777" w:rsidR="001206AA" w:rsidRDefault="00557E39">
      <w:pPr>
        <w:numPr>
          <w:ilvl w:val="0"/>
          <w:numId w:val="8"/>
        </w:numPr>
        <w:spacing w:line="580" w:lineRule="exact"/>
        <w:ind w:firstLineChars="200" w:firstLine="640"/>
        <w:rPr>
          <w:rFonts w:ascii="Times New Roman" w:eastAsia="仿宋_GB2312" w:hAnsi="Times New Roman" w:cs="Times New Roman"/>
          <w:sz w:val="32"/>
          <w:szCs w:val="32"/>
        </w:rPr>
      </w:pPr>
      <w:bookmarkStart w:id="11" w:name="_Hlk141088503"/>
      <w:r>
        <w:rPr>
          <w:rFonts w:ascii="Times New Roman" w:eastAsia="仿宋_GB2312" w:hAnsi="Times New Roman" w:cs="Times New Roman"/>
          <w:sz w:val="32"/>
          <w:szCs w:val="32"/>
        </w:rPr>
        <w:t>《江苏省生态空间管控区域规划》（苏政发〔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w:t>
      </w:r>
    </w:p>
    <w:p w14:paraId="1F897BEF" w14:textId="77777777" w:rsidR="001206AA" w:rsidRDefault="00557E39">
      <w:pPr>
        <w:numPr>
          <w:ilvl w:val="0"/>
          <w:numId w:val="8"/>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《泰州市国土空间总体规划（</w:t>
      </w:r>
      <w:r>
        <w:rPr>
          <w:rFonts w:ascii="Times New Roman" w:eastAsia="仿宋_GB2312" w:hAnsi="Times New Roman" w:cs="Times New Roman"/>
          <w:sz w:val="32"/>
          <w:szCs w:val="32"/>
        </w:rPr>
        <w:t>2021-2035</w:t>
      </w:r>
      <w:r>
        <w:rPr>
          <w:rFonts w:ascii="Times New Roman" w:eastAsia="仿宋_GB2312" w:hAnsi="Times New Roman" w:cs="Times New Roman"/>
          <w:sz w:val="32"/>
          <w:szCs w:val="32"/>
        </w:rPr>
        <w:t>年）》（苏政复〔</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号）；</w:t>
      </w:r>
    </w:p>
    <w:p w14:paraId="78643459" w14:textId="77777777" w:rsidR="001206AA" w:rsidRDefault="00557E39">
      <w:pPr>
        <w:numPr>
          <w:ilvl w:val="0"/>
          <w:numId w:val="8"/>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《泰兴市国土空间总体规划（</w:t>
      </w:r>
      <w:r>
        <w:rPr>
          <w:rFonts w:ascii="Times New Roman" w:eastAsia="仿宋_GB2312" w:hAnsi="Times New Roman" w:cs="Times New Roman"/>
          <w:sz w:val="32"/>
          <w:szCs w:val="32"/>
        </w:rPr>
        <w:t>2021-2035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（苏政复〔</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号）；</w:t>
      </w:r>
    </w:p>
    <w:p w14:paraId="373920D6" w14:textId="77777777" w:rsidR="001206AA" w:rsidRDefault="00557E39">
      <w:pPr>
        <w:numPr>
          <w:ilvl w:val="0"/>
          <w:numId w:val="8"/>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年度生态空间管控区域调整方案》（</w:t>
      </w:r>
      <w:proofErr w:type="gramStart"/>
      <w:r>
        <w:rPr>
          <w:rFonts w:ascii="Times New Roman" w:eastAsia="仿宋_GB2312" w:hAnsi="Times New Roman" w:cs="Times New Roman"/>
          <w:sz w:val="32"/>
          <w:szCs w:val="32"/>
        </w:rPr>
        <w:t>苏自然资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432</w:t>
      </w:r>
      <w:r>
        <w:rPr>
          <w:rFonts w:ascii="Times New Roman" w:eastAsia="仿宋_GB2312" w:hAnsi="Times New Roman" w:cs="Times New Roman"/>
          <w:sz w:val="32"/>
          <w:szCs w:val="32"/>
        </w:rPr>
        <w:t>号）；</w:t>
      </w:r>
    </w:p>
    <w:p w14:paraId="25AD77CD" w14:textId="77777777" w:rsidR="001206AA" w:rsidRDefault="00557E39">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《泰兴市国民经济和社会发展第十五个五年规划纲要（草</w:t>
      </w:r>
      <w:r>
        <w:rPr>
          <w:rFonts w:ascii="Times New Roman" w:eastAsia="方正仿宋_GBK" w:hAnsi="Times New Roman" w:cs="Times New Roman"/>
          <w:sz w:val="32"/>
          <w:szCs w:val="32"/>
        </w:rPr>
        <w:lastRenderedPageBreak/>
        <w:t>案）》（征求意见稿）；</w:t>
      </w:r>
    </w:p>
    <w:p w14:paraId="0AD9C6F2" w14:textId="77777777" w:rsidR="001206AA" w:rsidRDefault="00557E39">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年国民经济和社会发展计划（草案）》；</w:t>
      </w:r>
    </w:p>
    <w:p w14:paraId="5FB1F2BA" w14:textId="77777777" w:rsidR="001206AA" w:rsidRDefault="00557E39">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十四五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综合交通运输体系规划》（</w:t>
      </w:r>
      <w:proofErr w:type="gramStart"/>
      <w:r>
        <w:rPr>
          <w:rFonts w:ascii="Times New Roman" w:eastAsia="方正仿宋_GBK" w:hAnsi="Times New Roman" w:cs="Times New Roman"/>
          <w:sz w:val="32"/>
          <w:szCs w:val="32"/>
        </w:rPr>
        <w:t>泰政发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号）；</w:t>
      </w:r>
    </w:p>
    <w:p w14:paraId="48B9A7FB" w14:textId="77777777" w:rsidR="001206AA" w:rsidRDefault="00557E39">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12" w:name="OLE_LINK2"/>
      <w:bookmarkStart w:id="13" w:name="OLE_LINK1"/>
      <w:r>
        <w:rPr>
          <w:rFonts w:ascii="Times New Roman" w:eastAsia="方正仿宋_GBK" w:hAnsi="Times New Roman" w:cs="Times New Roman"/>
          <w:sz w:val="32"/>
          <w:szCs w:val="32"/>
        </w:rPr>
        <w:t>泰兴市城市东片区详细规划</w:t>
      </w:r>
      <w:bookmarkEnd w:id="12"/>
      <w:bookmarkEnd w:id="13"/>
      <w:r>
        <w:rPr>
          <w:rFonts w:ascii="Times New Roman" w:eastAsia="方正仿宋_GBK" w:hAnsi="Times New Roman" w:cs="Times New Roman"/>
          <w:sz w:val="32"/>
          <w:szCs w:val="32"/>
        </w:rPr>
        <w:t>》。</w:t>
      </w:r>
    </w:p>
    <w:bookmarkEnd w:id="11"/>
    <w:p w14:paraId="156E1CEE" w14:textId="77777777" w:rsidR="001206AA" w:rsidRDefault="00557E39">
      <w:pPr>
        <w:numPr>
          <w:ilvl w:val="0"/>
          <w:numId w:val="4"/>
        </w:numPr>
        <w:spacing w:line="58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已有调查及统计成果</w:t>
      </w:r>
    </w:p>
    <w:p w14:paraId="3C589AA5"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bookmarkStart w:id="14" w:name="_Hlk142263442"/>
      <w:r>
        <w:rPr>
          <w:rFonts w:ascii="Times New Roman" w:eastAsia="仿宋_GB2312" w:hAnsi="Times New Roman" w:cs="Times New Roman"/>
          <w:sz w:val="32"/>
          <w:szCs w:val="32"/>
        </w:rPr>
        <w:t>泰兴市历年供地台</w:t>
      </w:r>
      <w:proofErr w:type="gramStart"/>
      <w:r>
        <w:rPr>
          <w:rFonts w:ascii="Times New Roman" w:eastAsia="仿宋_GB2312" w:hAnsi="Times New Roman" w:cs="Times New Roman"/>
          <w:sz w:val="32"/>
          <w:szCs w:val="32"/>
        </w:rPr>
        <w:t>账</w:t>
      </w:r>
      <w:proofErr w:type="gramEnd"/>
      <w:r>
        <w:rPr>
          <w:rFonts w:ascii="Times New Roman" w:eastAsia="仿宋_GB2312" w:hAnsi="Times New Roman" w:cs="Times New Roman"/>
          <w:sz w:val="32"/>
          <w:szCs w:val="32"/>
        </w:rPr>
        <w:t>数据；</w:t>
      </w:r>
    </w:p>
    <w:p w14:paraId="2E319105"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年度国土变更调查成果；</w:t>
      </w:r>
    </w:p>
    <w:p w14:paraId="3E9547EE"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三区三线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划定成果；</w:t>
      </w:r>
    </w:p>
    <w:p w14:paraId="7FF54A80"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泰兴市永久基本农田核实处置成果；</w:t>
      </w:r>
    </w:p>
    <w:p w14:paraId="003816ED"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泰兴市重要水域设施管理范围线；</w:t>
      </w:r>
    </w:p>
    <w:p w14:paraId="02D4307B"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泰兴市粮食生产功能区和重要农产品生产保护区划定成果；</w:t>
      </w:r>
    </w:p>
    <w:p w14:paraId="2154A2DF"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十二五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以来高标准农田上图入库成果；</w:t>
      </w:r>
    </w:p>
    <w:p w14:paraId="46F9121A"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泰兴市农村集体土地所有权确权登记成果；</w:t>
      </w:r>
    </w:p>
    <w:p w14:paraId="5C3845E0"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泰州市</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年省级公益林</w:t>
      </w:r>
      <w:proofErr w:type="gramStart"/>
      <w:r>
        <w:rPr>
          <w:rFonts w:ascii="Times New Roman" w:eastAsia="仿宋_GB2312" w:hAnsi="Times New Roman" w:cs="Times New Roman"/>
          <w:sz w:val="32"/>
          <w:szCs w:val="32"/>
        </w:rPr>
        <w:t>优化落界成果</w:t>
      </w:r>
      <w:proofErr w:type="gramEnd"/>
      <w:r>
        <w:rPr>
          <w:rFonts w:ascii="Times New Roman" w:eastAsia="仿宋_GB2312" w:hAnsi="Times New Roman" w:cs="Times New Roman"/>
          <w:sz w:val="32"/>
          <w:szCs w:val="32"/>
        </w:rPr>
        <w:t>；</w:t>
      </w:r>
    </w:p>
    <w:p w14:paraId="75DD7D09"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年度耕地质量等别更新评价成果；</w:t>
      </w:r>
    </w:p>
    <w:p w14:paraId="4D12BA3B" w14:textId="77777777" w:rsidR="001206AA" w:rsidRDefault="00557E39">
      <w:pPr>
        <w:numPr>
          <w:ilvl w:val="0"/>
          <w:numId w:val="9"/>
        </w:num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其他相关调查成果。</w:t>
      </w:r>
      <w:bookmarkEnd w:id="14"/>
    </w:p>
    <w:p w14:paraId="627F3BEE"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二、总体情况</w:t>
      </w:r>
    </w:p>
    <w:p w14:paraId="462AF2C7"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泰兴市</w:t>
      </w:r>
      <w:r>
        <w:rPr>
          <w:rFonts w:ascii="Times New Roman" w:eastAsia="仿宋_GB2312" w:hAnsi="Times New Roman" w:cs="Times New Roman"/>
          <w:sz w:val="32"/>
          <w:szCs w:val="32"/>
        </w:rPr>
        <w:t>2026-02</w:t>
      </w:r>
      <w:r>
        <w:rPr>
          <w:rFonts w:ascii="Times New Roman" w:eastAsia="仿宋_GB2312" w:hAnsi="Times New Roman" w:cs="Times New Roman"/>
          <w:sz w:val="32"/>
          <w:szCs w:val="32"/>
        </w:rPr>
        <w:t>号土地征收成片开发方案共</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个片区，位于姚王街道，片区名称为姚王街道</w:t>
      </w:r>
      <w:proofErr w:type="gramStart"/>
      <w:r>
        <w:rPr>
          <w:rFonts w:ascii="Times New Roman" w:eastAsia="仿宋_GB2312" w:hAnsi="Times New Roman" w:cs="Times New Roman"/>
          <w:sz w:val="32"/>
          <w:szCs w:val="32"/>
        </w:rPr>
        <w:t>老城黄</w:t>
      </w:r>
      <w:proofErr w:type="gramEnd"/>
      <w:r>
        <w:rPr>
          <w:rFonts w:ascii="Times New Roman" w:eastAsia="仿宋_GB2312" w:hAnsi="Times New Roman" w:cs="Times New Roman"/>
          <w:sz w:val="32"/>
          <w:szCs w:val="32"/>
        </w:rPr>
        <w:t>路片区。片区总面积</w:t>
      </w:r>
      <w:r>
        <w:rPr>
          <w:rFonts w:ascii="Times New Roman" w:eastAsia="仿宋_GB2312" w:hAnsi="Times New Roman" w:cs="Times New Roman"/>
          <w:sz w:val="32"/>
          <w:szCs w:val="32"/>
        </w:rPr>
        <w:t>7.3376</w:t>
      </w:r>
      <w:r>
        <w:rPr>
          <w:rFonts w:ascii="Times New Roman" w:eastAsia="仿宋_GB2312" w:hAnsi="Times New Roman" w:cs="Times New Roman"/>
          <w:sz w:val="32"/>
          <w:szCs w:val="32"/>
        </w:rPr>
        <w:t>公顷，拟征收集体土地面积</w:t>
      </w:r>
      <w:r>
        <w:rPr>
          <w:rFonts w:ascii="Times New Roman" w:eastAsia="仿宋_GB2312" w:hAnsi="Times New Roman" w:cs="Times New Roman"/>
          <w:sz w:val="32"/>
          <w:szCs w:val="32"/>
        </w:rPr>
        <w:t>4.0902</w:t>
      </w:r>
      <w:r>
        <w:rPr>
          <w:rFonts w:ascii="Times New Roman" w:eastAsia="仿宋_GB2312" w:hAnsi="Times New Roman" w:cs="Times New Roman"/>
          <w:sz w:val="32"/>
          <w:szCs w:val="32"/>
        </w:rPr>
        <w:t>公顷（成片开发范围以最终批复为准）。片区外部水、电、气、热、通讯和消防基本</w:t>
      </w:r>
      <w:r>
        <w:rPr>
          <w:rFonts w:ascii="Times New Roman" w:eastAsia="仿宋_GB2312" w:hAnsi="Times New Roman" w:cs="Times New Roman"/>
          <w:sz w:val="32"/>
          <w:szCs w:val="32"/>
        </w:rPr>
        <w:lastRenderedPageBreak/>
        <w:t>具备地块开发条件。</w:t>
      </w:r>
    </w:p>
    <w:p w14:paraId="78B0838C"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三、成片开发的必要性</w:t>
      </w:r>
    </w:p>
    <w:p w14:paraId="26B38819"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期间，泰兴市充分发挥江苏中轴战略交汇点的区位优势，抢抓上海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五个中心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、锡常泰都市圈建设契机，全面融入上海、全力融入苏南，深入推进港城联动、跨江联动、公水联动，加快提升县域能级，推动产业结构差异化、基础设施一体化、公共服务均等化</w:t>
      </w:r>
      <w:r>
        <w:rPr>
          <w:rFonts w:ascii="Times New Roman" w:eastAsia="仿宋_GB2312" w:hAnsi="Times New Roman" w:cs="Times New Roman"/>
          <w:sz w:val="32"/>
          <w:szCs w:val="32"/>
        </w:rPr>
        <w:t>、要素流通市场化，重点打造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常泰跨江融合发展桥头堡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。坚持人民城市为人民，以城市更新</w:t>
      </w:r>
      <w:proofErr w:type="gramStart"/>
      <w:r>
        <w:rPr>
          <w:rFonts w:ascii="Times New Roman" w:eastAsia="仿宋_GB2312" w:hAnsi="Times New Roman" w:cs="Times New Roman"/>
          <w:sz w:val="32"/>
          <w:szCs w:val="32"/>
        </w:rPr>
        <w:t>提质宜居</w:t>
      </w:r>
      <w:proofErr w:type="gramEnd"/>
      <w:r>
        <w:rPr>
          <w:rFonts w:ascii="Times New Roman" w:eastAsia="仿宋_GB2312" w:hAnsi="Times New Roman" w:cs="Times New Roman"/>
          <w:sz w:val="32"/>
          <w:szCs w:val="32"/>
        </w:rPr>
        <w:t>环境，以绿色低碳绘就发展底色，以文脉传承凝聚城市精神，以产业升级激活城市动能，致力实现更优的教育、更稳定的就业、更满意的收入、更可靠的社会保障、更高水平的医疗服务、更舒适的住房条件、更美好的生态环境。在此背景下，为加快推进土地征收成片开发方案实施，按照征收一片、建设一片、建成一片的总体要求，泰兴市以系统性、完整性、连片为原则，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创新智造高地、生态银杏之乡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发展目标，高效配置土地资源、提升城市功能、强化生态服务功能</w:t>
      </w:r>
      <w:r>
        <w:rPr>
          <w:rFonts w:ascii="Times New Roman" w:eastAsia="仿宋_GB2312" w:hAnsi="Times New Roman" w:cs="Times New Roman"/>
          <w:sz w:val="32"/>
          <w:szCs w:val="32"/>
        </w:rPr>
        <w:t>，以此推进经济社会的可持续发展。</w:t>
      </w:r>
    </w:p>
    <w:p w14:paraId="5078F2D5"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方案可充分发挥规划在城市开发过程中的指引作用，能够使成片开发更好的服务于泰兴城市发展，同时，本方案能够规范征地行为，维护和保障被征地农民的基本利益，保障被征地农民原有生活水平不降低，长远生计有保障，有效保障重点区域与重大项目发展。</w:t>
      </w:r>
    </w:p>
    <w:p w14:paraId="4B08C7B8"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四、公益性用地情况</w:t>
      </w:r>
    </w:p>
    <w:p w14:paraId="2AE2BEBA" w14:textId="77777777" w:rsidR="001206AA" w:rsidRDefault="00557E39">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 w:val="32"/>
          <w:szCs w:val="32"/>
        </w:rPr>
        <w:t>根据《江苏省自然资源厅关于加快推进土地征收成片开发方</w:t>
      </w:r>
      <w:r>
        <w:rPr>
          <w:rFonts w:ascii="Times New Roman" w:eastAsia="仿宋_GB2312" w:hAnsi="Times New Roman" w:cs="Times New Roman"/>
          <w:sz w:val="32"/>
          <w:szCs w:val="32"/>
        </w:rPr>
        <w:lastRenderedPageBreak/>
        <w:t>案编制工作的通知》（</w:t>
      </w:r>
      <w:proofErr w:type="gramStart"/>
      <w:r>
        <w:rPr>
          <w:rFonts w:ascii="Times New Roman" w:eastAsia="仿宋_GB2312" w:hAnsi="Times New Roman" w:cs="Times New Roman"/>
          <w:sz w:val="32"/>
          <w:szCs w:val="32"/>
        </w:rPr>
        <w:t>苏自然资发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138</w:t>
      </w:r>
      <w:r>
        <w:rPr>
          <w:rFonts w:ascii="Times New Roman" w:eastAsia="仿宋_GB2312" w:hAnsi="Times New Roman" w:cs="Times New Roman"/>
          <w:sz w:val="32"/>
          <w:szCs w:val="32"/>
        </w:rPr>
        <w:t>号）文件要求，城市新区型片区公益性用地占比一般不低于</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的。本方案共</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个开发片区，属于城市新区型片区，公益性用地面积</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858</w:t>
      </w:r>
      <w:r>
        <w:rPr>
          <w:rFonts w:ascii="Times New Roman" w:eastAsia="仿宋_GB2312" w:hAnsi="Times New Roman" w:cs="Times New Roman"/>
          <w:sz w:val="32"/>
          <w:szCs w:val="32"/>
        </w:rPr>
        <w:t>公顷，公益性用地比例</w:t>
      </w:r>
      <w:r>
        <w:rPr>
          <w:rFonts w:ascii="Times New Roman" w:eastAsia="仿宋_GB2312" w:hAnsi="Times New Roman" w:cs="Times New Roman"/>
          <w:sz w:val="32"/>
          <w:szCs w:val="32"/>
        </w:rPr>
        <w:t>48.87%</w:t>
      </w:r>
      <w:r>
        <w:rPr>
          <w:rFonts w:ascii="Times New Roman" w:eastAsia="仿宋_GB2312" w:hAnsi="Times New Roman" w:cs="Times New Roman"/>
          <w:sz w:val="32"/>
          <w:szCs w:val="32"/>
        </w:rPr>
        <w:t>。</w:t>
      </w:r>
    </w:p>
    <w:p w14:paraId="57BBBA17"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五、规划符合情况</w:t>
      </w:r>
    </w:p>
    <w:p w14:paraId="57DED9FF"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本方案符合《泰兴市国民经济和社会发展第十五个五年规划纲要（草案）》（征求意见稿）中的发展定位、要求，并已纳入泰兴市</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年国民经济和社会发展年度计划（草案）；</w:t>
      </w:r>
    </w:p>
    <w:p w14:paraId="1B5DFD15"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土地征收成片开发范围已全部纳入泰兴市国土空间总体规划（</w:t>
      </w:r>
      <w:r>
        <w:rPr>
          <w:rFonts w:ascii="Times New Roman" w:eastAsia="仿宋_GB2312" w:hAnsi="Times New Roman" w:cs="Times New Roman"/>
          <w:sz w:val="32"/>
          <w:szCs w:val="32"/>
        </w:rPr>
        <w:t>2021-2035</w:t>
      </w:r>
      <w:r>
        <w:rPr>
          <w:rFonts w:ascii="Times New Roman" w:eastAsia="仿宋_GB2312" w:hAnsi="Times New Roman" w:cs="Times New Roman"/>
          <w:sz w:val="32"/>
          <w:szCs w:val="32"/>
        </w:rPr>
        <w:t>年）确定的城镇建设用地范围；</w:t>
      </w:r>
    </w:p>
    <w:p w14:paraId="7FC2C240"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成片开发范围不涉及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三区三线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划定的永久基本农田、生态保护红线，不涉及生态空间管控区；</w:t>
      </w:r>
    </w:p>
    <w:p w14:paraId="6DA31738"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符合《泰兴市城市东片区详细规划》。</w:t>
      </w:r>
    </w:p>
    <w:p w14:paraId="24BEB6DB"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六、效益评价</w:t>
      </w:r>
    </w:p>
    <w:p w14:paraId="4379BE9C" w14:textId="77777777" w:rsidR="001206AA" w:rsidRDefault="00557E39">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1.</w:t>
      </w:r>
      <w:r>
        <w:rPr>
          <w:rFonts w:ascii="Times New Roman" w:eastAsia="楷体_GB2312" w:hAnsi="Times New Roman" w:cs="Times New Roman"/>
          <w:sz w:val="32"/>
          <w:szCs w:val="32"/>
        </w:rPr>
        <w:t>经济效益</w:t>
      </w:r>
    </w:p>
    <w:p w14:paraId="3092325A"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通过成片开发方案的实</w:t>
      </w:r>
      <w:r>
        <w:rPr>
          <w:rFonts w:ascii="Times New Roman" w:eastAsia="仿宋_GB2312" w:hAnsi="Times New Roman" w:cs="Times New Roman"/>
          <w:sz w:val="32"/>
          <w:szCs w:val="32"/>
        </w:rPr>
        <w:t>施，可增强城区、乡镇生活配套设施供给水平，促进经济增长，拓展经济发展空间，提升国民经济生产总值。此外，提升居民生活空间质量，提高区域吸引力，带动区域各类土地资源价值逐步提升。</w:t>
      </w:r>
    </w:p>
    <w:p w14:paraId="73A26BB4" w14:textId="77777777" w:rsidR="001206AA" w:rsidRDefault="00557E39">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2.</w:t>
      </w:r>
      <w:r>
        <w:rPr>
          <w:rFonts w:ascii="Times New Roman" w:eastAsia="楷体_GB2312" w:hAnsi="Times New Roman" w:cs="Times New Roman"/>
          <w:sz w:val="32"/>
          <w:szCs w:val="32"/>
        </w:rPr>
        <w:t>社会效益</w:t>
      </w:r>
    </w:p>
    <w:p w14:paraId="390ABD65"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成片开发方案项目的实施对城区和乡镇社会、经济环境等各方面都产生重大影响，对土地利用、分配公平、环境改善、增加就业等方面有促进作用。通过成片开发方案的实施能够真正实现</w:t>
      </w:r>
      <w:r>
        <w:rPr>
          <w:rFonts w:ascii="Times New Roman" w:eastAsia="仿宋_GB2312" w:hAnsi="Times New Roman" w:cs="Times New Roman"/>
          <w:sz w:val="32"/>
          <w:szCs w:val="32"/>
        </w:rPr>
        <w:lastRenderedPageBreak/>
        <w:t>统一规划、统一配套、统一开发、统一建设、统一管理，提高城市土地资源配置效率。</w:t>
      </w:r>
    </w:p>
    <w:p w14:paraId="6C109FD5" w14:textId="77777777" w:rsidR="001206AA" w:rsidRDefault="00557E39">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3.</w:t>
      </w:r>
      <w:r>
        <w:rPr>
          <w:rFonts w:ascii="Times New Roman" w:eastAsia="楷体_GB2312" w:hAnsi="Times New Roman" w:cs="Times New Roman"/>
          <w:sz w:val="32"/>
          <w:szCs w:val="32"/>
        </w:rPr>
        <w:t>生态效益</w:t>
      </w:r>
    </w:p>
    <w:p w14:paraId="54D0ADE8" w14:textId="77777777" w:rsidR="001206AA" w:rsidRDefault="00557E39">
      <w:pPr>
        <w:spacing w:line="5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bCs/>
          <w:color w:val="000000" w:themeColor="text1"/>
          <w:sz w:val="30"/>
          <w:szCs w:val="30"/>
        </w:rPr>
        <w:t>为保护片区环境和生态资源，将切实加强节能、环保方面的管理，</w:t>
      </w:r>
      <w:r>
        <w:rPr>
          <w:rFonts w:ascii="Times New Roman" w:eastAsia="仿宋_GB2312" w:hAnsi="Times New Roman" w:cs="Times New Roman"/>
          <w:color w:val="000000" w:themeColor="text1"/>
          <w:sz w:val="30"/>
          <w:szCs w:val="30"/>
        </w:rPr>
        <w:t>片区内项目建筑将严格实施建筑节能设计标准，降低能耗，污染物排放严格控制，生活、生产废气排放必须符合国家大气污染</w:t>
      </w:r>
      <w:proofErr w:type="gramStart"/>
      <w:r>
        <w:rPr>
          <w:rFonts w:ascii="Times New Roman" w:eastAsia="仿宋_GB2312" w:hAnsi="Times New Roman" w:cs="Times New Roman"/>
          <w:color w:val="000000" w:themeColor="text1"/>
          <w:sz w:val="30"/>
          <w:szCs w:val="30"/>
        </w:rPr>
        <w:t>物综合</w:t>
      </w:r>
      <w:proofErr w:type="gramEnd"/>
      <w:r>
        <w:rPr>
          <w:rFonts w:ascii="Times New Roman" w:eastAsia="仿宋_GB2312" w:hAnsi="Times New Roman" w:cs="Times New Roman"/>
          <w:color w:val="000000" w:themeColor="text1"/>
          <w:sz w:val="30"/>
          <w:szCs w:val="30"/>
        </w:rPr>
        <w:t>排放标准</w:t>
      </w:r>
      <w:r>
        <w:rPr>
          <w:rFonts w:ascii="Times New Roman" w:eastAsia="仿宋_GB2312" w:hAnsi="Times New Roman" w:cs="Times New Roman"/>
          <w:sz w:val="30"/>
          <w:szCs w:val="30"/>
        </w:rPr>
        <w:t>，排水采取雨污分流、清污分流制，区域环境将得到充分维护，实现人与自然、经济发展与资源环境协调的可持续发展。</w:t>
      </w:r>
    </w:p>
    <w:p w14:paraId="64AC7D1D"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七、拟建设项目、开发时序和实施计划</w:t>
      </w:r>
    </w:p>
    <w:p w14:paraId="4848A796"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成片开发范围内拟建设项目以居住用地为主，配套建设市政基础设施停车场项目，计划在</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月启动土地征收工作。</w:t>
      </w:r>
    </w:p>
    <w:p w14:paraId="26520E78"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八、选址适宜性</w:t>
      </w:r>
    </w:p>
    <w:p w14:paraId="3501D76E"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方案不涉及各类自然保护地、各级风景名胜区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方案不涉及国有林场、国有林地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方案不涉及历史文化名城名镇名村，不涉及历史文化保护街区，不涉及历史建筑，不涉及传统村落；方案不涉及《江苏省建设用地土壤污染风险管控和修复名录》中的地块，不存在土壤污染</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案不压覆现有矿山和已经探明的矿产资源：方案不涉及湖泊保护名录、骨干河道名录中的河道、湖泊等重点保护水域；方案片区内土地平整，无低丘缓坡等不利建设条件，未见现状地质灾害，未处于地质灾害易发区，成片开发建设条件适宜。</w:t>
      </w:r>
    </w:p>
    <w:p w14:paraId="22B25587"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方案不涉及占用高标准农田，不涉及占用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E87E938"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九、土地</w:t>
      </w:r>
      <w:r>
        <w:rPr>
          <w:rFonts w:ascii="Times New Roman" w:eastAsia="方正黑体_GBK" w:hAnsi="Times New Roman" w:cs="Times New Roman"/>
          <w:sz w:val="32"/>
          <w:szCs w:val="32"/>
        </w:rPr>
        <w:t>征收补偿安置措施</w:t>
      </w:r>
    </w:p>
    <w:p w14:paraId="2F0AE6A1"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征地补偿标准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参照《市政府关于重新公布泰兴市征地区片综合地价执行标准的通知》（</w:t>
      </w:r>
      <w:proofErr w:type="gramStart"/>
      <w:r>
        <w:rPr>
          <w:rFonts w:ascii="Times New Roman" w:eastAsia="仿宋_GB2312" w:hAnsi="Times New Roman" w:cs="Times New Roman"/>
          <w:sz w:val="32"/>
          <w:szCs w:val="32"/>
        </w:rPr>
        <w:t>泰政发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号）的标准执行（待新标准公布后，参照最新标准执行）；</w:t>
      </w:r>
    </w:p>
    <w:p w14:paraId="503E8DCC"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征地安置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泰兴市计划通过货币安置、社保安置、搬迁安置等相结合的安置方式，落实被征地农民社会保障，妥善解决被征地农民的生产和生活；</w:t>
      </w:r>
    </w:p>
    <w:p w14:paraId="0AD2A6C0" w14:textId="77777777" w:rsidR="001206AA" w:rsidRDefault="00557E3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征地程序</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泰兴市自然资源和规划局在征地报批前，督促姚王街道严格按规定履行征地报批前告知、现状调查及确认、听证、公告等程序。</w:t>
      </w:r>
    </w:p>
    <w:p w14:paraId="4E53CCD8" w14:textId="77777777" w:rsidR="001206AA" w:rsidRDefault="00557E39">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十、结论</w:t>
      </w:r>
    </w:p>
    <w:p w14:paraId="7FE6640A" w14:textId="77777777" w:rsidR="001206AA" w:rsidRDefault="00557E39">
      <w:pPr>
        <w:spacing w:line="580" w:lineRule="exact"/>
        <w:ind w:firstLineChars="200" w:firstLine="640"/>
        <w:rPr>
          <w:rFonts w:ascii="Times New Roman" w:eastAsia="仿宋_GB2312" w:hAnsi="Times New Roman" w:cs="Times New Roman"/>
          <w:sz w:val="32"/>
          <w:szCs w:val="32"/>
        </w:rPr>
        <w:sectPr w:rsidR="001206AA">
          <w:footerReference w:type="default" r:id="rId8"/>
          <w:pgSz w:w="11906" w:h="16838"/>
          <w:pgMar w:top="1701" w:right="1531" w:bottom="1701" w:left="1531" w:header="851" w:footer="992" w:gutter="0"/>
          <w:cols w:space="0"/>
          <w:docGrid w:type="lines" w:linePitch="312"/>
        </w:sectPr>
      </w:pPr>
      <w:r>
        <w:rPr>
          <w:rFonts w:ascii="Times New Roman" w:eastAsia="仿宋_GB2312" w:hAnsi="Times New Roman" w:cs="Times New Roman"/>
          <w:sz w:val="32"/>
          <w:szCs w:val="32"/>
        </w:rPr>
        <w:t>《</w:t>
      </w:r>
      <w:bookmarkStart w:id="15" w:name="OLE_LINK6"/>
      <w:bookmarkStart w:id="16" w:name="OLE_LINK7"/>
      <w:r>
        <w:rPr>
          <w:rFonts w:ascii="Times New Roman" w:eastAsia="仿宋_GB2312" w:hAnsi="Times New Roman" w:cs="Times New Roman"/>
          <w:sz w:val="32"/>
          <w:szCs w:val="32"/>
        </w:rPr>
        <w:t>泰兴市</w:t>
      </w:r>
      <w:r>
        <w:rPr>
          <w:rFonts w:ascii="Times New Roman" w:eastAsia="仿宋_GB2312" w:hAnsi="Times New Roman" w:cs="Times New Roman"/>
          <w:sz w:val="32"/>
          <w:szCs w:val="32"/>
        </w:rPr>
        <w:t>2026-02</w:t>
      </w:r>
      <w:r>
        <w:rPr>
          <w:rFonts w:ascii="Times New Roman" w:eastAsia="仿宋_GB2312" w:hAnsi="Times New Roman" w:cs="Times New Roman"/>
          <w:sz w:val="32"/>
          <w:szCs w:val="32"/>
        </w:rPr>
        <w:t>号</w:t>
      </w:r>
      <w:bookmarkEnd w:id="15"/>
      <w:bookmarkEnd w:id="16"/>
      <w:r>
        <w:rPr>
          <w:rFonts w:ascii="Times New Roman" w:eastAsia="仿宋_GB2312" w:hAnsi="Times New Roman" w:cs="Times New Roman"/>
          <w:sz w:val="32"/>
          <w:szCs w:val="32"/>
        </w:rPr>
        <w:t>土地征收成片开发方案（征求意见稿）》符合自然资源</w:t>
      </w:r>
      <w:proofErr w:type="gramStart"/>
      <w:r>
        <w:rPr>
          <w:rFonts w:ascii="Times New Roman" w:eastAsia="仿宋_GB2312" w:hAnsi="Times New Roman" w:cs="Times New Roman"/>
          <w:sz w:val="32"/>
          <w:szCs w:val="32"/>
        </w:rPr>
        <w:t>部土地</w:t>
      </w:r>
      <w:proofErr w:type="gramEnd"/>
      <w:r>
        <w:rPr>
          <w:rFonts w:ascii="Times New Roman" w:eastAsia="仿宋_GB2312" w:hAnsi="Times New Roman" w:cs="Times New Roman"/>
          <w:sz w:val="32"/>
          <w:szCs w:val="32"/>
        </w:rPr>
        <w:t>征收成片开发标准，落实了最严格的耕地保护和节约集约利用土地制度，坚持以人民为中心，注重维护被征地农民合法权益，注重生态环境保护，能够促进泰兴市经济社会可持续发展。</w:t>
      </w:r>
    </w:p>
    <w:p w14:paraId="4498D136" w14:textId="77777777" w:rsidR="001206AA" w:rsidRDefault="00557E39">
      <w:pPr>
        <w:pStyle w:val="a4"/>
        <w:ind w:left="0" w:firstLineChars="0" w:firstLine="0"/>
        <w:rPr>
          <w:rFonts w:ascii="Times New Roman" w:hAnsi="Times New Roman" w:cs="Times New Roman"/>
        </w:rPr>
      </w:pPr>
      <w:r>
        <w:rPr>
          <w:rFonts w:ascii="Times New Roman" w:hAnsi="Times New Roman" w:cs="Times New Roman"/>
        </w:rPr>
        <w:lastRenderedPageBreak/>
        <w:pict w14:anchorId="359EE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842.95pt;height:595pt;z-index:251659264;mso-wrap-distance-left:9pt;mso-wrap-distance-top:0;mso-wrap-distance-right:9pt;mso-wrap-distance-bottom:0;mso-position-horizontal:center;mso-position-horizontal-relative:margin;mso-position-vertical:center;mso-position-vertical-relative:margin;mso-width-relative:page;mso-height-relative:page">
            <v:imagedata r:id="rId9" o:title="公示图"/>
            <w10:wrap type="square" anchorx="margin" anchory="margin"/>
          </v:shape>
        </w:pict>
      </w:r>
    </w:p>
    <w:sectPr w:rsidR="001206AA">
      <w:pgSz w:w="16838" w:h="11906" w:orient="landscape"/>
      <w:pgMar w:top="1531" w:right="1701" w:bottom="1531"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1B8C" w14:textId="77777777" w:rsidR="00557E39" w:rsidRDefault="00557E39">
      <w:r>
        <w:separator/>
      </w:r>
    </w:p>
  </w:endnote>
  <w:endnote w:type="continuationSeparator" w:id="0">
    <w:p w14:paraId="68770A41" w14:textId="77777777" w:rsidR="00557E39" w:rsidRDefault="0055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auto"/>
    <w:pitch w:val="default"/>
    <w:sig w:usb0="A00002BF" w:usb1="184F6CFA" w:usb2="00000012" w:usb3="00000000" w:csb0="00040001" w:csb1="00000000"/>
  </w:font>
  <w:font w:name="仿宋_GB2312">
    <w:charset w:val="86"/>
    <w:family w:val="modern"/>
    <w:pitch w:val="default"/>
    <w:sig w:usb0="00000001" w:usb1="080E0000" w:usb2="00000000" w:usb3="00000000" w:csb0="00040000" w:csb1="00000000"/>
    <w:embedRegular r:id="rId1" w:subsetted="1" w:fontKey="{09FAC3E0-1A0A-423A-9E57-4B9FED444769}"/>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方正黑体_GBK">
    <w:charset w:val="86"/>
    <w:family w:val="script"/>
    <w:pitch w:val="default"/>
    <w:sig w:usb0="00000001" w:usb1="080E0000" w:usb2="00000000" w:usb3="00000000" w:csb0="00040000" w:csb1="00000000"/>
    <w:embedRegular r:id="rId2" w:subsetted="1" w:fontKey="{F56BCABF-1552-440F-98E3-2828C21C23F0}"/>
  </w:font>
  <w:font w:name="方正小标宋_GBK">
    <w:charset w:val="86"/>
    <w:family w:val="script"/>
    <w:pitch w:val="default"/>
    <w:sig w:usb0="00000001" w:usb1="080E0000" w:usb2="00000000" w:usb3="00000000" w:csb0="00040000" w:csb1="00000000"/>
    <w:embedRegular r:id="rId3" w:subsetted="1" w:fontKey="{0A87D4B3-B0A8-4AF3-BD5C-39C1FA402ED6}"/>
  </w:font>
  <w:font w:name="方正仿宋_GBK">
    <w:charset w:val="86"/>
    <w:family w:val="script"/>
    <w:pitch w:val="default"/>
    <w:sig w:usb0="00000001" w:usb1="080E0000" w:usb2="00000000" w:usb3="00000000" w:csb0="00040000" w:csb1="00000000"/>
    <w:embedRegular r:id="rId4" w:subsetted="1" w:fontKey="{1EADD913-34FD-4D3F-BF6E-A762C26E6AC9}"/>
  </w:font>
  <w:font w:name="方正楷体_GBK">
    <w:charset w:val="86"/>
    <w:family w:val="script"/>
    <w:pitch w:val="default"/>
    <w:sig w:usb0="00000001" w:usb1="080E0000" w:usb2="00000000" w:usb3="00000000" w:csb0="00040000" w:csb1="00000000"/>
    <w:embedRegular r:id="rId5" w:subsetted="1" w:fontKey="{95AB68D5-3B20-4786-8DCE-8B32D930887B}"/>
  </w:font>
  <w:font w:name="楷体_GB2312">
    <w:charset w:val="86"/>
    <w:family w:val="auto"/>
    <w:pitch w:val="default"/>
    <w:sig w:usb0="00000001" w:usb1="080E0000" w:usb2="00000000" w:usb3="00000000" w:csb0="00040000" w:csb1="00000000"/>
    <w:embedRegular r:id="rId6" w:subsetted="1" w:fontKey="{C8055B0A-0316-4A44-8EA2-DD97AAD09B7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2464" w14:textId="77777777" w:rsidR="001206AA" w:rsidRDefault="00557E39">
    <w:pPr>
      <w:pStyle w:val="af"/>
    </w:pPr>
    <w:r>
      <w:rPr>
        <w:noProof/>
      </w:rPr>
      <mc:AlternateContent>
        <mc:Choice Requires="wps">
          <w:drawing>
            <wp:anchor distT="0" distB="0" distL="114300" distR="114300" simplePos="0" relativeHeight="251659264" behindDoc="0" locked="0" layoutInCell="1" allowOverlap="1" wp14:anchorId="6A1C74BF" wp14:editId="60B7A4B8">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6FED0" w14:textId="77777777" w:rsidR="001206AA" w:rsidRDefault="00557E39">
                          <w:pPr>
                            <w:pStyle w:val="af"/>
                            <w:rPr>
                              <w:rFonts w:ascii="Times New Roman" w:hAnsi="Times New Roman" w:cs="Times New Roman"/>
                              <w:sz w:val="28"/>
                              <w:szCs w:val="28"/>
                            </w:rPr>
                          </w:pPr>
                          <w:r>
                            <w:rPr>
                              <w:rFonts w:ascii="宋体" w:eastAsia="宋体" w:hAnsi="宋体" w:cs="宋体"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C36671">
                    <w:pPr>
                      <w:pStyle w:val="21"/>
                      <w:rPr>
                        <w:rFonts w:ascii="Times New Roman" w:hAnsi="Times New Roman" w:cs="Times New Roman"/>
                        <w:sz w:val="28"/>
                        <w:szCs w:val="28"/>
                      </w:rPr>
                    </w:pPr>
                    <w:r>
                      <w:rPr>
                        <w:rFonts w:hint="eastAsia" w:ascii="宋体" w:hAnsi="宋体" w:eastAsia="宋体" w:cs="宋体"/>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3C49" w14:textId="77777777" w:rsidR="00557E39" w:rsidRDefault="00557E39">
      <w:r>
        <w:separator/>
      </w:r>
    </w:p>
  </w:footnote>
  <w:footnote w:type="continuationSeparator" w:id="0">
    <w:p w14:paraId="3730B79E" w14:textId="77777777" w:rsidR="00557E39" w:rsidRDefault="00557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C66CA"/>
    <w:multiLevelType w:val="singleLevel"/>
    <w:tmpl w:val="9BCC66CA"/>
    <w:lvl w:ilvl="0">
      <w:start w:val="1"/>
      <w:numFmt w:val="decimal"/>
      <w:suff w:val="nothing"/>
      <w:lvlText w:val="%1．"/>
      <w:lvlJc w:val="left"/>
      <w:pPr>
        <w:ind w:left="0" w:firstLine="400"/>
      </w:pPr>
      <w:rPr>
        <w:rFonts w:hint="default"/>
      </w:rPr>
    </w:lvl>
  </w:abstractNum>
  <w:abstractNum w:abstractNumId="1" w15:restartNumberingAfterBreak="0">
    <w:nsid w:val="E4BF2276"/>
    <w:multiLevelType w:val="singleLevel"/>
    <w:tmpl w:val="E4BF2276"/>
    <w:lvl w:ilvl="0">
      <w:start w:val="1"/>
      <w:numFmt w:val="decimal"/>
      <w:suff w:val="nothing"/>
      <w:lvlText w:val="%1．"/>
      <w:lvlJc w:val="left"/>
      <w:pPr>
        <w:ind w:left="0" w:firstLine="400"/>
      </w:pPr>
      <w:rPr>
        <w:rFonts w:hint="default"/>
      </w:rPr>
    </w:lvl>
  </w:abstractNum>
  <w:abstractNum w:abstractNumId="2" w15:restartNumberingAfterBreak="0">
    <w:nsid w:val="00492D99"/>
    <w:multiLevelType w:val="multilevel"/>
    <w:tmpl w:val="00492D99"/>
    <w:lvl w:ilvl="0">
      <w:start w:val="1"/>
      <w:numFmt w:val="chineseCountingThousand"/>
      <w:pStyle w:val="ly"/>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6F44B47"/>
    <w:multiLevelType w:val="multilevel"/>
    <w:tmpl w:val="16F44B47"/>
    <w:lvl w:ilvl="0">
      <w:start w:val="1"/>
      <w:numFmt w:val="chineseCountingThousand"/>
      <w:suff w:val="space"/>
      <w:lvlText w:val="第%1章"/>
      <w:lvlJc w:val="center"/>
      <w:pPr>
        <w:ind w:left="0" w:firstLine="0"/>
      </w:pPr>
      <w:rPr>
        <w:rFonts w:hint="eastAsia"/>
      </w:rPr>
    </w:lvl>
    <w:lvl w:ilvl="1">
      <w:start w:val="1"/>
      <w:numFmt w:val="chineseCountingThousand"/>
      <w:pStyle w:val="ly0"/>
      <w:suff w:val="space"/>
      <w:lvlText w:val="第%2节"/>
      <w:lvlJc w:val="center"/>
      <w:pPr>
        <w:ind w:left="3261" w:firstLine="0"/>
      </w:pPr>
      <w:rPr>
        <w:rFonts w:ascii="Times New Roman" w:hAnsi="Times New Roman" w:cs="Times New Roman" w:hint="eastAsia"/>
        <w:i w:val="0"/>
        <w:iCs w:val="0"/>
        <w:caps w:val="0"/>
        <w:smallCaps w:val="0"/>
        <w:strike w:val="0"/>
        <w:dstrike w:val="0"/>
        <w:vanish w:val="0"/>
        <w:color w:val="000000"/>
        <w:spacing w:val="0"/>
        <w:position w:val="0"/>
        <w:u w:val="none"/>
        <w:vertAlign w:val="baseline"/>
        <w:lang w:val="zh-CN" w:eastAsia="zh-CN"/>
      </w:rPr>
    </w:lvl>
    <w:lvl w:ilvl="2">
      <w:start w:val="1"/>
      <w:numFmt w:val="chineseCountingThousand"/>
      <w:suff w:val="space"/>
      <w:lvlText w:val="%3、"/>
      <w:lvlJc w:val="left"/>
      <w:pPr>
        <w:ind w:left="2495" w:firstLine="482"/>
      </w:pPr>
      <w:rPr>
        <w:rFonts w:ascii="Times New Roman" w:hAnsi="Times New Roman" w:cs="Times New Roman" w:hint="eastAsia"/>
        <w:b/>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chineseCountingThousand"/>
      <w:suff w:val="space"/>
      <w:lvlText w:val="（%4）"/>
      <w:lvlJc w:val="left"/>
      <w:pPr>
        <w:ind w:left="-56" w:firstLine="482"/>
      </w:pPr>
      <w:rPr>
        <w:rFonts w:hint="eastAsia"/>
        <w:lang w:val="zh-CN"/>
      </w:rPr>
    </w:lvl>
    <w:lvl w:ilvl="4">
      <w:start w:val="1"/>
      <w:numFmt w:val="decimal"/>
      <w:suff w:val="space"/>
      <w:lvlText w:val="%5、"/>
      <w:lvlJc w:val="left"/>
      <w:pPr>
        <w:ind w:left="227" w:firstLine="482"/>
      </w:pPr>
      <w:rPr>
        <w:rFonts w:hint="eastAsia"/>
      </w:rPr>
    </w:lvl>
    <w:lvl w:ilvl="5">
      <w:start w:val="1"/>
      <w:numFmt w:val="decimal"/>
      <w:suff w:val="space"/>
      <w:lvlText w:val="（%6）"/>
      <w:lvlJc w:val="left"/>
      <w:pPr>
        <w:ind w:left="227" w:firstLine="482"/>
      </w:pPr>
      <w:rPr>
        <w:rFonts w:hint="eastAsia"/>
        <w:lang w:val="en-US"/>
      </w:rPr>
    </w:lvl>
    <w:lvl w:ilvl="6">
      <w:start w:val="1"/>
      <w:numFmt w:val="decimalEnclosedCircle"/>
      <w:suff w:val="space"/>
      <w:lvlText w:val="%7"/>
      <w:lvlJc w:val="left"/>
      <w:pPr>
        <w:ind w:left="0" w:firstLine="482"/>
      </w:pPr>
      <w:rPr>
        <w:rFonts w:hint="eastAsia"/>
      </w:rPr>
    </w:lvl>
    <w:lvl w:ilvl="7">
      <w:start w:val="1"/>
      <w:numFmt w:val="decimal"/>
      <w:lvlRestart w:val="1"/>
      <w:isLgl/>
      <w:suff w:val="space"/>
      <w:lvlText w:val="表%1-%8"/>
      <w:lvlJc w:val="left"/>
      <w:pPr>
        <w:ind w:left="3402"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lang w:val="en-US"/>
      </w:rPr>
    </w:lvl>
    <w:lvl w:ilvl="8">
      <w:start w:val="1"/>
      <w:numFmt w:val="decimal"/>
      <w:lvlRestart w:val="1"/>
      <w:isLgl/>
      <w:suff w:val="space"/>
      <w:lvlText w:val="图%1-%9"/>
      <w:lvlJc w:val="left"/>
      <w:pPr>
        <w:ind w:left="0" w:firstLine="0"/>
      </w:pPr>
      <w:rPr>
        <w:rFonts w:hint="eastAsia"/>
      </w:rPr>
    </w:lvl>
  </w:abstractNum>
  <w:abstractNum w:abstractNumId="4" w15:restartNumberingAfterBreak="0">
    <w:nsid w:val="262E72C0"/>
    <w:multiLevelType w:val="multilevel"/>
    <w:tmpl w:val="262E72C0"/>
    <w:lvl w:ilvl="0">
      <w:start w:val="1"/>
      <w:numFmt w:val="decimal"/>
      <w:pStyle w:val="ly1"/>
      <w:lvlText w:val="%1."/>
      <w:lvlJc w:val="left"/>
      <w:pPr>
        <w:tabs>
          <w:tab w:val="left" w:pos="720"/>
        </w:tabs>
        <w:ind w:left="720" w:hanging="720"/>
      </w:pPr>
    </w:lvl>
    <w:lvl w:ilvl="1">
      <w:start w:val="1"/>
      <w:numFmt w:val="decimal"/>
      <w:pStyle w:val="1"/>
      <w:lvlText w:val="%2."/>
      <w:lvlJc w:val="left"/>
      <w:pPr>
        <w:tabs>
          <w:tab w:val="left" w:pos="1440"/>
        </w:tabs>
        <w:ind w:left="1440" w:hanging="720"/>
      </w:pPr>
    </w:lvl>
    <w:lvl w:ilvl="2">
      <w:start w:val="1"/>
      <w:numFmt w:val="decimal"/>
      <w:pStyle w:val="ly2"/>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3CC68960"/>
    <w:multiLevelType w:val="singleLevel"/>
    <w:tmpl w:val="3CC68960"/>
    <w:lvl w:ilvl="0">
      <w:start w:val="1"/>
      <w:numFmt w:val="decimal"/>
      <w:suff w:val="nothing"/>
      <w:lvlText w:val="%1．"/>
      <w:lvlJc w:val="left"/>
      <w:pPr>
        <w:ind w:left="0" w:firstLine="400"/>
      </w:pPr>
      <w:rPr>
        <w:rFonts w:hint="default"/>
      </w:rPr>
    </w:lvl>
  </w:abstractNum>
  <w:abstractNum w:abstractNumId="6" w15:restartNumberingAfterBreak="0">
    <w:nsid w:val="4F07D0C4"/>
    <w:multiLevelType w:val="singleLevel"/>
    <w:tmpl w:val="4F07D0C4"/>
    <w:lvl w:ilvl="0">
      <w:start w:val="1"/>
      <w:numFmt w:val="chineseCounting"/>
      <w:suff w:val="nothing"/>
      <w:lvlText w:val="（%1）"/>
      <w:lvlJc w:val="left"/>
      <w:pPr>
        <w:ind w:left="0" w:firstLine="420"/>
      </w:pPr>
      <w:rPr>
        <w:rFonts w:hint="eastAsia"/>
      </w:rPr>
    </w:lvl>
  </w:abstractNum>
  <w:abstractNum w:abstractNumId="7" w15:restartNumberingAfterBreak="0">
    <w:nsid w:val="55DEC224"/>
    <w:multiLevelType w:val="singleLevel"/>
    <w:tmpl w:val="55DEC224"/>
    <w:lvl w:ilvl="0">
      <w:start w:val="1"/>
      <w:numFmt w:val="decimal"/>
      <w:suff w:val="nothing"/>
      <w:lvlText w:val="%1．"/>
      <w:lvlJc w:val="left"/>
      <w:pPr>
        <w:ind w:left="0" w:firstLine="400"/>
      </w:pPr>
      <w:rPr>
        <w:rFonts w:hint="default"/>
      </w:rPr>
    </w:lvl>
  </w:abstractNum>
  <w:abstractNum w:abstractNumId="8" w15:restartNumberingAfterBreak="0">
    <w:nsid w:val="6CD8046E"/>
    <w:multiLevelType w:val="singleLevel"/>
    <w:tmpl w:val="6CD8046E"/>
    <w:lvl w:ilvl="0">
      <w:start w:val="1"/>
      <w:numFmt w:val="decimal"/>
      <w:suff w:val="nothing"/>
      <w:lvlText w:val="%1．"/>
      <w:lvlJc w:val="left"/>
      <w:pPr>
        <w:ind w:left="0" w:firstLine="400"/>
      </w:pPr>
      <w:rPr>
        <w:rFonts w:hint="default"/>
      </w:rPr>
    </w:lvl>
  </w:abstractNum>
  <w:num w:numId="1">
    <w:abstractNumId w:val="2"/>
  </w:num>
  <w:num w:numId="2">
    <w:abstractNumId w:val="3"/>
  </w:num>
  <w:num w:numId="3">
    <w:abstractNumId w:val="4"/>
  </w:num>
  <w:num w:numId="4">
    <w:abstractNumId w:val="6"/>
  </w:num>
  <w:num w:numId="5">
    <w:abstractNumId w:val="7"/>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g5YjZhMjhiMjFkNDc1YTFkNDhiMDJmNTdkNWUyYjMifQ=="/>
  </w:docVars>
  <w:rsids>
    <w:rsidRoot w:val="0034344A"/>
    <w:rsid w:val="000022E4"/>
    <w:rsid w:val="000044FC"/>
    <w:rsid w:val="00004515"/>
    <w:rsid w:val="0001648E"/>
    <w:rsid w:val="00030A65"/>
    <w:rsid w:val="0008398A"/>
    <w:rsid w:val="000A1ACF"/>
    <w:rsid w:val="000B58BA"/>
    <w:rsid w:val="000B7616"/>
    <w:rsid w:val="000C00EA"/>
    <w:rsid w:val="000C09CC"/>
    <w:rsid w:val="000C0A14"/>
    <w:rsid w:val="000D05E8"/>
    <w:rsid w:val="000D0C8A"/>
    <w:rsid w:val="00100279"/>
    <w:rsid w:val="00104C55"/>
    <w:rsid w:val="00107761"/>
    <w:rsid w:val="001102AE"/>
    <w:rsid w:val="001206AA"/>
    <w:rsid w:val="00120E28"/>
    <w:rsid w:val="00120FC3"/>
    <w:rsid w:val="00123CF4"/>
    <w:rsid w:val="00134AC1"/>
    <w:rsid w:val="00154692"/>
    <w:rsid w:val="00156D66"/>
    <w:rsid w:val="00164D23"/>
    <w:rsid w:val="00173D9D"/>
    <w:rsid w:val="00175C7A"/>
    <w:rsid w:val="00183A97"/>
    <w:rsid w:val="001E1447"/>
    <w:rsid w:val="001F4A51"/>
    <w:rsid w:val="00201CBD"/>
    <w:rsid w:val="0020724E"/>
    <w:rsid w:val="002237AA"/>
    <w:rsid w:val="00227E7B"/>
    <w:rsid w:val="00230A73"/>
    <w:rsid w:val="00231CDA"/>
    <w:rsid w:val="00250BCE"/>
    <w:rsid w:val="002534AF"/>
    <w:rsid w:val="0026677F"/>
    <w:rsid w:val="00287DD5"/>
    <w:rsid w:val="00295603"/>
    <w:rsid w:val="002A2176"/>
    <w:rsid w:val="002B724F"/>
    <w:rsid w:val="002D27BB"/>
    <w:rsid w:val="002E75D3"/>
    <w:rsid w:val="00314C4A"/>
    <w:rsid w:val="003352EE"/>
    <w:rsid w:val="0033738E"/>
    <w:rsid w:val="003427A6"/>
    <w:rsid w:val="0034344A"/>
    <w:rsid w:val="00361BB2"/>
    <w:rsid w:val="00370A9A"/>
    <w:rsid w:val="00371EC9"/>
    <w:rsid w:val="00387F34"/>
    <w:rsid w:val="003B2971"/>
    <w:rsid w:val="003B3B4A"/>
    <w:rsid w:val="003C04CA"/>
    <w:rsid w:val="003C4431"/>
    <w:rsid w:val="003C45C2"/>
    <w:rsid w:val="003C54C7"/>
    <w:rsid w:val="003F1B78"/>
    <w:rsid w:val="003F2F1D"/>
    <w:rsid w:val="003F7E4B"/>
    <w:rsid w:val="00400402"/>
    <w:rsid w:val="00400932"/>
    <w:rsid w:val="00413A6F"/>
    <w:rsid w:val="0046365F"/>
    <w:rsid w:val="004700D2"/>
    <w:rsid w:val="004812C5"/>
    <w:rsid w:val="004817A0"/>
    <w:rsid w:val="00481FAE"/>
    <w:rsid w:val="00485F0E"/>
    <w:rsid w:val="004970D9"/>
    <w:rsid w:val="004C2543"/>
    <w:rsid w:val="004C47E3"/>
    <w:rsid w:val="004E0CFA"/>
    <w:rsid w:val="004F049C"/>
    <w:rsid w:val="004F179B"/>
    <w:rsid w:val="004F4326"/>
    <w:rsid w:val="00500B01"/>
    <w:rsid w:val="00505483"/>
    <w:rsid w:val="00515515"/>
    <w:rsid w:val="00523F37"/>
    <w:rsid w:val="005465D0"/>
    <w:rsid w:val="00557E39"/>
    <w:rsid w:val="0056002B"/>
    <w:rsid w:val="0057737D"/>
    <w:rsid w:val="005774F8"/>
    <w:rsid w:val="0059001B"/>
    <w:rsid w:val="005A0FB6"/>
    <w:rsid w:val="005B2ACE"/>
    <w:rsid w:val="005B71C6"/>
    <w:rsid w:val="005C31FD"/>
    <w:rsid w:val="005C3523"/>
    <w:rsid w:val="005E6501"/>
    <w:rsid w:val="005F0EEA"/>
    <w:rsid w:val="00612754"/>
    <w:rsid w:val="00622AF6"/>
    <w:rsid w:val="006429F5"/>
    <w:rsid w:val="00646266"/>
    <w:rsid w:val="00660259"/>
    <w:rsid w:val="00667E3E"/>
    <w:rsid w:val="00674F2A"/>
    <w:rsid w:val="006B5D3C"/>
    <w:rsid w:val="006C0E5E"/>
    <w:rsid w:val="006D4200"/>
    <w:rsid w:val="006E2502"/>
    <w:rsid w:val="007053E8"/>
    <w:rsid w:val="007221A1"/>
    <w:rsid w:val="007269A7"/>
    <w:rsid w:val="00730722"/>
    <w:rsid w:val="007465DF"/>
    <w:rsid w:val="007A3DB7"/>
    <w:rsid w:val="007B0A34"/>
    <w:rsid w:val="007B430C"/>
    <w:rsid w:val="007B5BED"/>
    <w:rsid w:val="007D138F"/>
    <w:rsid w:val="007D1CE3"/>
    <w:rsid w:val="007E4453"/>
    <w:rsid w:val="007E58E2"/>
    <w:rsid w:val="00813B37"/>
    <w:rsid w:val="008333D5"/>
    <w:rsid w:val="00840B14"/>
    <w:rsid w:val="00880D7E"/>
    <w:rsid w:val="0088232C"/>
    <w:rsid w:val="008833DF"/>
    <w:rsid w:val="008A2103"/>
    <w:rsid w:val="008B6F44"/>
    <w:rsid w:val="008C5CB5"/>
    <w:rsid w:val="008C6480"/>
    <w:rsid w:val="008E1116"/>
    <w:rsid w:val="008E79BB"/>
    <w:rsid w:val="008F5E83"/>
    <w:rsid w:val="009117F0"/>
    <w:rsid w:val="00914BE5"/>
    <w:rsid w:val="00927AD0"/>
    <w:rsid w:val="00941339"/>
    <w:rsid w:val="009664AA"/>
    <w:rsid w:val="009714A1"/>
    <w:rsid w:val="009728D0"/>
    <w:rsid w:val="00981F45"/>
    <w:rsid w:val="009A21EB"/>
    <w:rsid w:val="009B697E"/>
    <w:rsid w:val="009B7CFE"/>
    <w:rsid w:val="009C22F5"/>
    <w:rsid w:val="009D022F"/>
    <w:rsid w:val="009F31C4"/>
    <w:rsid w:val="009F5528"/>
    <w:rsid w:val="009F67AF"/>
    <w:rsid w:val="00A51896"/>
    <w:rsid w:val="00A51C5C"/>
    <w:rsid w:val="00A9297F"/>
    <w:rsid w:val="00AC2079"/>
    <w:rsid w:val="00AD7BCF"/>
    <w:rsid w:val="00AE055D"/>
    <w:rsid w:val="00AF79E8"/>
    <w:rsid w:val="00B05471"/>
    <w:rsid w:val="00B05AC9"/>
    <w:rsid w:val="00B06D30"/>
    <w:rsid w:val="00B45E75"/>
    <w:rsid w:val="00B65D7D"/>
    <w:rsid w:val="00B73537"/>
    <w:rsid w:val="00B8135D"/>
    <w:rsid w:val="00BA2865"/>
    <w:rsid w:val="00BA4B94"/>
    <w:rsid w:val="00BB7C0E"/>
    <w:rsid w:val="00BC0DBD"/>
    <w:rsid w:val="00BD145F"/>
    <w:rsid w:val="00BD28E3"/>
    <w:rsid w:val="00BD753A"/>
    <w:rsid w:val="00BE1A16"/>
    <w:rsid w:val="00BE5E3B"/>
    <w:rsid w:val="00BF66EF"/>
    <w:rsid w:val="00C0125B"/>
    <w:rsid w:val="00C018BD"/>
    <w:rsid w:val="00C10044"/>
    <w:rsid w:val="00C30FC4"/>
    <w:rsid w:val="00C34C0E"/>
    <w:rsid w:val="00C35097"/>
    <w:rsid w:val="00C51A8E"/>
    <w:rsid w:val="00C61FCA"/>
    <w:rsid w:val="00C86D70"/>
    <w:rsid w:val="00C91D55"/>
    <w:rsid w:val="00C94A89"/>
    <w:rsid w:val="00CA041C"/>
    <w:rsid w:val="00CC219B"/>
    <w:rsid w:val="00CF179C"/>
    <w:rsid w:val="00CF6E69"/>
    <w:rsid w:val="00D02759"/>
    <w:rsid w:val="00D15E42"/>
    <w:rsid w:val="00D15F5A"/>
    <w:rsid w:val="00D32B6C"/>
    <w:rsid w:val="00D43825"/>
    <w:rsid w:val="00D43A5B"/>
    <w:rsid w:val="00D762AB"/>
    <w:rsid w:val="00D90C38"/>
    <w:rsid w:val="00DA7CE7"/>
    <w:rsid w:val="00DD3CAC"/>
    <w:rsid w:val="00DD7009"/>
    <w:rsid w:val="00DE0CB0"/>
    <w:rsid w:val="00DE32F4"/>
    <w:rsid w:val="00E355B1"/>
    <w:rsid w:val="00E3644A"/>
    <w:rsid w:val="00E37D6F"/>
    <w:rsid w:val="00E441AB"/>
    <w:rsid w:val="00E6171C"/>
    <w:rsid w:val="00E629E1"/>
    <w:rsid w:val="00E649A1"/>
    <w:rsid w:val="00E6702F"/>
    <w:rsid w:val="00E72E07"/>
    <w:rsid w:val="00E741A8"/>
    <w:rsid w:val="00E80583"/>
    <w:rsid w:val="00E830CA"/>
    <w:rsid w:val="00E85B45"/>
    <w:rsid w:val="00ED1C48"/>
    <w:rsid w:val="00ED24F2"/>
    <w:rsid w:val="00ED76AA"/>
    <w:rsid w:val="00EE16BD"/>
    <w:rsid w:val="00F01AF1"/>
    <w:rsid w:val="00F04623"/>
    <w:rsid w:val="00F16FDA"/>
    <w:rsid w:val="00F30762"/>
    <w:rsid w:val="00F33570"/>
    <w:rsid w:val="00F64589"/>
    <w:rsid w:val="00F71166"/>
    <w:rsid w:val="00F7732F"/>
    <w:rsid w:val="00F868D2"/>
    <w:rsid w:val="00F96430"/>
    <w:rsid w:val="00FA06BF"/>
    <w:rsid w:val="00FB4E13"/>
    <w:rsid w:val="00FB5F30"/>
    <w:rsid w:val="00FC3424"/>
    <w:rsid w:val="00FD47C4"/>
    <w:rsid w:val="00FE27BD"/>
    <w:rsid w:val="00FE3C4E"/>
    <w:rsid w:val="010A6E0C"/>
    <w:rsid w:val="01D86637"/>
    <w:rsid w:val="02B546C0"/>
    <w:rsid w:val="032B3375"/>
    <w:rsid w:val="036603FB"/>
    <w:rsid w:val="03893D8B"/>
    <w:rsid w:val="03AE1751"/>
    <w:rsid w:val="03BC6FF0"/>
    <w:rsid w:val="0506170D"/>
    <w:rsid w:val="066F1039"/>
    <w:rsid w:val="07486471"/>
    <w:rsid w:val="074958E1"/>
    <w:rsid w:val="07936C77"/>
    <w:rsid w:val="08362309"/>
    <w:rsid w:val="08455A9A"/>
    <w:rsid w:val="085D2B61"/>
    <w:rsid w:val="08B66B90"/>
    <w:rsid w:val="08BF40AC"/>
    <w:rsid w:val="091066E5"/>
    <w:rsid w:val="09604CAA"/>
    <w:rsid w:val="09B47989"/>
    <w:rsid w:val="0A267E72"/>
    <w:rsid w:val="0A6A2374"/>
    <w:rsid w:val="0AAC7BBC"/>
    <w:rsid w:val="0AB13EC9"/>
    <w:rsid w:val="0C7E602C"/>
    <w:rsid w:val="0D4929EF"/>
    <w:rsid w:val="0D4C7ED9"/>
    <w:rsid w:val="0E0B38F0"/>
    <w:rsid w:val="0EB83A78"/>
    <w:rsid w:val="0FD77F2D"/>
    <w:rsid w:val="0FDA3BF0"/>
    <w:rsid w:val="10152911"/>
    <w:rsid w:val="101C3B92"/>
    <w:rsid w:val="10E50428"/>
    <w:rsid w:val="10E54CB1"/>
    <w:rsid w:val="12492C39"/>
    <w:rsid w:val="138547A0"/>
    <w:rsid w:val="13F0214A"/>
    <w:rsid w:val="145C6C53"/>
    <w:rsid w:val="14B74623"/>
    <w:rsid w:val="162E13EE"/>
    <w:rsid w:val="16582103"/>
    <w:rsid w:val="16896B12"/>
    <w:rsid w:val="1699418F"/>
    <w:rsid w:val="17CF1E59"/>
    <w:rsid w:val="188D656C"/>
    <w:rsid w:val="18A137CE"/>
    <w:rsid w:val="192561AE"/>
    <w:rsid w:val="1AAB4490"/>
    <w:rsid w:val="1E1B7B7F"/>
    <w:rsid w:val="1EDD0DE0"/>
    <w:rsid w:val="1F8C2663"/>
    <w:rsid w:val="1FC02EA8"/>
    <w:rsid w:val="203C3DDD"/>
    <w:rsid w:val="206F761B"/>
    <w:rsid w:val="20D564EE"/>
    <w:rsid w:val="21350F58"/>
    <w:rsid w:val="21743EAD"/>
    <w:rsid w:val="21A46446"/>
    <w:rsid w:val="229B7D58"/>
    <w:rsid w:val="23AC3027"/>
    <w:rsid w:val="24B67A73"/>
    <w:rsid w:val="24C30629"/>
    <w:rsid w:val="2601765A"/>
    <w:rsid w:val="26922CB5"/>
    <w:rsid w:val="28373807"/>
    <w:rsid w:val="287F6042"/>
    <w:rsid w:val="28991DCC"/>
    <w:rsid w:val="292D1347"/>
    <w:rsid w:val="29CE3CF8"/>
    <w:rsid w:val="2AA36F32"/>
    <w:rsid w:val="2BAA609E"/>
    <w:rsid w:val="2C7A0167"/>
    <w:rsid w:val="2CF27CFD"/>
    <w:rsid w:val="2D337A40"/>
    <w:rsid w:val="2E762FAD"/>
    <w:rsid w:val="2EE12A31"/>
    <w:rsid w:val="2EF91655"/>
    <w:rsid w:val="2FEA5603"/>
    <w:rsid w:val="300F249A"/>
    <w:rsid w:val="30286D46"/>
    <w:rsid w:val="30AB4D93"/>
    <w:rsid w:val="30F0044A"/>
    <w:rsid w:val="316149B2"/>
    <w:rsid w:val="31773F9D"/>
    <w:rsid w:val="33A053C7"/>
    <w:rsid w:val="341028BD"/>
    <w:rsid w:val="34EA4D40"/>
    <w:rsid w:val="353C5421"/>
    <w:rsid w:val="36095D6E"/>
    <w:rsid w:val="36DF3ECD"/>
    <w:rsid w:val="36EE3C2B"/>
    <w:rsid w:val="36F20B34"/>
    <w:rsid w:val="3741738D"/>
    <w:rsid w:val="37DE612D"/>
    <w:rsid w:val="37F012DD"/>
    <w:rsid w:val="3872263A"/>
    <w:rsid w:val="3894610C"/>
    <w:rsid w:val="3914766B"/>
    <w:rsid w:val="3925145A"/>
    <w:rsid w:val="39592215"/>
    <w:rsid w:val="3971469F"/>
    <w:rsid w:val="3A8000F6"/>
    <w:rsid w:val="3B9E20FA"/>
    <w:rsid w:val="3BC0374F"/>
    <w:rsid w:val="3D2A3CB2"/>
    <w:rsid w:val="3D3A76B0"/>
    <w:rsid w:val="3D412BB2"/>
    <w:rsid w:val="3E1E1AF9"/>
    <w:rsid w:val="3E7052F2"/>
    <w:rsid w:val="3F125FF2"/>
    <w:rsid w:val="3F54607B"/>
    <w:rsid w:val="3F856046"/>
    <w:rsid w:val="3FEF631E"/>
    <w:rsid w:val="404E74E8"/>
    <w:rsid w:val="40C94DC1"/>
    <w:rsid w:val="412D5350"/>
    <w:rsid w:val="41642EBF"/>
    <w:rsid w:val="41D67795"/>
    <w:rsid w:val="41F320F5"/>
    <w:rsid w:val="42D87FBC"/>
    <w:rsid w:val="43055ADD"/>
    <w:rsid w:val="431E31A2"/>
    <w:rsid w:val="43985097"/>
    <w:rsid w:val="44512DD0"/>
    <w:rsid w:val="45433678"/>
    <w:rsid w:val="456711F0"/>
    <w:rsid w:val="45E14DD2"/>
    <w:rsid w:val="461F61F5"/>
    <w:rsid w:val="46571786"/>
    <w:rsid w:val="46CD4CD1"/>
    <w:rsid w:val="46EC2DE4"/>
    <w:rsid w:val="47305B9A"/>
    <w:rsid w:val="4787788E"/>
    <w:rsid w:val="48677399"/>
    <w:rsid w:val="489F1458"/>
    <w:rsid w:val="49212EE0"/>
    <w:rsid w:val="4A3A6E47"/>
    <w:rsid w:val="4A6E0EB3"/>
    <w:rsid w:val="4AC91E8F"/>
    <w:rsid w:val="4B592E71"/>
    <w:rsid w:val="4C5C5435"/>
    <w:rsid w:val="4D693BB4"/>
    <w:rsid w:val="4DCF7DDE"/>
    <w:rsid w:val="4EF851EF"/>
    <w:rsid w:val="4F616203"/>
    <w:rsid w:val="4F9D18F3"/>
    <w:rsid w:val="500E336D"/>
    <w:rsid w:val="502C5764"/>
    <w:rsid w:val="51195B69"/>
    <w:rsid w:val="51493AE0"/>
    <w:rsid w:val="5160086B"/>
    <w:rsid w:val="51635F8E"/>
    <w:rsid w:val="522E2CD6"/>
    <w:rsid w:val="52A5130D"/>
    <w:rsid w:val="547E3398"/>
    <w:rsid w:val="54D2203E"/>
    <w:rsid w:val="55744822"/>
    <w:rsid w:val="560634C9"/>
    <w:rsid w:val="56DD02C3"/>
    <w:rsid w:val="57FD73D2"/>
    <w:rsid w:val="581314C9"/>
    <w:rsid w:val="583A0626"/>
    <w:rsid w:val="584B45E2"/>
    <w:rsid w:val="58C75FFA"/>
    <w:rsid w:val="592B4413"/>
    <w:rsid w:val="593659D9"/>
    <w:rsid w:val="594154C3"/>
    <w:rsid w:val="596F4300"/>
    <w:rsid w:val="5BB97AB4"/>
    <w:rsid w:val="5BE30FD5"/>
    <w:rsid w:val="5D3425C9"/>
    <w:rsid w:val="5D487342"/>
    <w:rsid w:val="5D4A1A32"/>
    <w:rsid w:val="5D5E4DB7"/>
    <w:rsid w:val="5E2D4325"/>
    <w:rsid w:val="5F555D46"/>
    <w:rsid w:val="60EA4A1D"/>
    <w:rsid w:val="61305501"/>
    <w:rsid w:val="61804BE3"/>
    <w:rsid w:val="61970A3D"/>
    <w:rsid w:val="62BC668E"/>
    <w:rsid w:val="62E96ED1"/>
    <w:rsid w:val="62FC765F"/>
    <w:rsid w:val="632717A7"/>
    <w:rsid w:val="642B176B"/>
    <w:rsid w:val="64F47DAF"/>
    <w:rsid w:val="653A7EB8"/>
    <w:rsid w:val="65942523"/>
    <w:rsid w:val="66700EB1"/>
    <w:rsid w:val="667B69EC"/>
    <w:rsid w:val="66BB2A74"/>
    <w:rsid w:val="66F347C2"/>
    <w:rsid w:val="672E3020"/>
    <w:rsid w:val="685748DD"/>
    <w:rsid w:val="68C4111D"/>
    <w:rsid w:val="69D1246D"/>
    <w:rsid w:val="6AD10F55"/>
    <w:rsid w:val="6AD30254"/>
    <w:rsid w:val="6AD40467"/>
    <w:rsid w:val="6C384A25"/>
    <w:rsid w:val="6CA36CB9"/>
    <w:rsid w:val="6D940381"/>
    <w:rsid w:val="6D990F8E"/>
    <w:rsid w:val="6E6715F2"/>
    <w:rsid w:val="6E671F69"/>
    <w:rsid w:val="6F170E79"/>
    <w:rsid w:val="6FC1249A"/>
    <w:rsid w:val="708120BC"/>
    <w:rsid w:val="70C9589B"/>
    <w:rsid w:val="70CE3BAA"/>
    <w:rsid w:val="71950224"/>
    <w:rsid w:val="72266E65"/>
    <w:rsid w:val="722A4E10"/>
    <w:rsid w:val="728269FA"/>
    <w:rsid w:val="728A6536"/>
    <w:rsid w:val="738D3673"/>
    <w:rsid w:val="73A6749F"/>
    <w:rsid w:val="73E94CF6"/>
    <w:rsid w:val="745D327B"/>
    <w:rsid w:val="74F3598D"/>
    <w:rsid w:val="750556C0"/>
    <w:rsid w:val="75347933"/>
    <w:rsid w:val="75370EE5"/>
    <w:rsid w:val="75B73ED4"/>
    <w:rsid w:val="76832D8B"/>
    <w:rsid w:val="77BD3214"/>
    <w:rsid w:val="78A91184"/>
    <w:rsid w:val="794A7131"/>
    <w:rsid w:val="79EA1045"/>
    <w:rsid w:val="7A74131E"/>
    <w:rsid w:val="7ABC4A73"/>
    <w:rsid w:val="7ABF2B35"/>
    <w:rsid w:val="7AE96B7F"/>
    <w:rsid w:val="7B6F1AE6"/>
    <w:rsid w:val="7B85492F"/>
    <w:rsid w:val="7CB4667F"/>
    <w:rsid w:val="7CBE6084"/>
    <w:rsid w:val="7D3E4DCA"/>
    <w:rsid w:val="7D614AC1"/>
    <w:rsid w:val="7E150331"/>
    <w:rsid w:val="7E3459C2"/>
    <w:rsid w:val="7F4219EB"/>
    <w:rsid w:val="7F8C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20552584"/>
  <w15:docId w15:val="{B71DC3CA-BC72-49C6-ADD0-1D4A9CF5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uiPriority w:val="9"/>
    <w:qFormat/>
    <w:pPr>
      <w:spacing w:before="1"/>
      <w:ind w:right="349"/>
      <w:jc w:val="center"/>
      <w:outlineLvl w:val="0"/>
    </w:pPr>
    <w:rPr>
      <w:rFonts w:ascii="方正小标宋简体" w:eastAsia="方正小标宋简体" w:hAnsi="方正小标宋简体" w:cs="方正小标宋简体"/>
      <w:sz w:val="44"/>
      <w:szCs w:val="44"/>
    </w:rPr>
  </w:style>
  <w:style w:type="paragraph" w:styleId="20">
    <w:name w:val="heading 2"/>
    <w:basedOn w:val="a"/>
    <w:next w:val="a"/>
    <w:link w:val="21"/>
    <w:uiPriority w:val="9"/>
    <w:qFormat/>
    <w:pPr>
      <w:spacing w:beforeLines="50" w:before="50" w:afterLines="50" w:after="50" w:line="360" w:lineRule="auto"/>
      <w:jc w:val="center"/>
      <w:outlineLvl w:val="1"/>
    </w:pPr>
    <w:rPr>
      <w:rFonts w:ascii="Times New Roman" w:eastAsia="宋体" w:hAnsi="Times New Roman" w:cs="Times New Roman"/>
      <w:b/>
      <w:bCs/>
      <w:sz w:val="24"/>
      <w:szCs w:val="32"/>
      <w:lang w:val="zh-CN"/>
    </w:rPr>
  </w:style>
  <w:style w:type="paragraph" w:styleId="3">
    <w:name w:val="heading 3"/>
    <w:basedOn w:val="a"/>
    <w:next w:val="a"/>
    <w:link w:val="30"/>
    <w:uiPriority w:val="9"/>
    <w:unhideWhenUsed/>
    <w:qFormat/>
    <w:pPr>
      <w:keepNext/>
      <w:keepLines/>
      <w:spacing w:line="360" w:lineRule="auto"/>
      <w:outlineLvl w:val="2"/>
    </w:pPr>
    <w:rPr>
      <w:rFonts w:ascii="Times New Roman" w:eastAsia="仿宋_GB2312" w:hAnsi="Times New Roman"/>
      <w:bCs/>
      <w:sz w:val="30"/>
      <w:szCs w:val="32"/>
    </w:rPr>
  </w:style>
  <w:style w:type="paragraph" w:styleId="4">
    <w:name w:val="heading 4"/>
    <w:basedOn w:val="a"/>
    <w:next w:val="a"/>
    <w:link w:val="40"/>
    <w:uiPriority w:val="9"/>
    <w:unhideWhenUsed/>
    <w:qFormat/>
    <w:pPr>
      <w:keepNext/>
      <w:keepLines/>
      <w:spacing w:before="280" w:after="290" w:line="376" w:lineRule="auto"/>
      <w:ind w:left="4480" w:firstLine="482"/>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qFormat/>
    <w:pPr>
      <w:widowControl/>
      <w:spacing w:line="420" w:lineRule="exact"/>
      <w:ind w:left="4763" w:firstLine="482"/>
      <w:outlineLvl w:val="4"/>
    </w:pPr>
    <w:rPr>
      <w:rFonts w:ascii="Times New Roman" w:eastAsia="宋体" w:hAnsi="Times New Roman" w:cs="Times New Roman"/>
      <w:bCs/>
      <w:sz w:val="24"/>
      <w:szCs w:val="28"/>
      <w:lang w:val="zh-CN"/>
    </w:rPr>
  </w:style>
  <w:style w:type="paragraph" w:styleId="6">
    <w:name w:val="heading 6"/>
    <w:basedOn w:val="a"/>
    <w:next w:val="a"/>
    <w:link w:val="60"/>
    <w:uiPriority w:val="9"/>
    <w:qFormat/>
    <w:pPr>
      <w:spacing w:line="420" w:lineRule="exact"/>
      <w:ind w:left="4763" w:firstLine="482"/>
      <w:outlineLvl w:val="5"/>
    </w:pPr>
    <w:rPr>
      <w:rFonts w:ascii="Times New Roman" w:eastAsia="宋体" w:hAnsi="Times New Roman" w:cs="Times New Roman"/>
      <w:bCs/>
      <w:sz w:val="24"/>
      <w:szCs w:val="24"/>
      <w:lang w:val="zh-CN"/>
    </w:rPr>
  </w:style>
  <w:style w:type="paragraph" w:styleId="7">
    <w:name w:val="heading 7"/>
    <w:basedOn w:val="a"/>
    <w:next w:val="a"/>
    <w:link w:val="70"/>
    <w:uiPriority w:val="9"/>
    <w:qFormat/>
    <w:pPr>
      <w:keepNext/>
      <w:spacing w:line="420" w:lineRule="exact"/>
      <w:ind w:left="4536" w:firstLine="482"/>
      <w:outlineLvl w:val="6"/>
    </w:pPr>
    <w:rPr>
      <w:rFonts w:ascii="Times New Roman" w:eastAsia="宋体" w:hAnsi="Times New Roman" w:cs="Times New Roman"/>
      <w:bCs/>
      <w:sz w:val="24"/>
      <w:szCs w:val="24"/>
      <w:lang w:val="zh-CN"/>
    </w:rPr>
  </w:style>
  <w:style w:type="paragraph" w:styleId="8">
    <w:name w:val="heading 8"/>
    <w:basedOn w:val="a"/>
    <w:next w:val="a"/>
    <w:link w:val="80"/>
    <w:uiPriority w:val="9"/>
    <w:qFormat/>
    <w:pPr>
      <w:keepNext/>
      <w:keepLines/>
      <w:spacing w:line="420" w:lineRule="exact"/>
      <w:jc w:val="center"/>
      <w:outlineLvl w:val="7"/>
    </w:pPr>
    <w:rPr>
      <w:rFonts w:ascii="Times New Roman" w:eastAsia="黑体" w:hAnsi="Times New Roman" w:cs="Times New Roman"/>
      <w:szCs w:val="24"/>
      <w:lang w:val="zh-CN"/>
    </w:rPr>
  </w:style>
  <w:style w:type="paragraph" w:styleId="9">
    <w:name w:val="heading 9"/>
    <w:basedOn w:val="a"/>
    <w:next w:val="a"/>
    <w:link w:val="90"/>
    <w:uiPriority w:val="9"/>
    <w:qFormat/>
    <w:pPr>
      <w:keepNext/>
      <w:keepLines/>
      <w:spacing w:line="420" w:lineRule="exact"/>
      <w:ind w:left="4536"/>
      <w:jc w:val="center"/>
      <w:outlineLvl w:val="8"/>
    </w:pPr>
    <w:rPr>
      <w:rFonts w:ascii="Times New Roman" w:eastAsia="黑体" w:hAnsi="Times New Roman" w:cs="Times New Roman"/>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2"/>
    <w:qFormat/>
    <w:pPr>
      <w:ind w:firstLine="420"/>
    </w:pPr>
  </w:style>
  <w:style w:type="paragraph" w:styleId="a3">
    <w:name w:val="Body Text Indent"/>
    <w:basedOn w:val="a"/>
    <w:next w:val="a5"/>
    <w:link w:val="a6"/>
    <w:qFormat/>
    <w:pPr>
      <w:spacing w:line="440" w:lineRule="exact"/>
      <w:ind w:firstLineChars="200" w:firstLine="480"/>
    </w:pPr>
    <w:rPr>
      <w:rFonts w:ascii="宋体" w:hAnsi="宋体" w:cs="宋体"/>
      <w:kern w:val="0"/>
      <w:szCs w:val="21"/>
    </w:rPr>
  </w:style>
  <w:style w:type="paragraph" w:styleId="a5">
    <w:name w:val="Normal Indent"/>
    <w:basedOn w:val="a"/>
    <w:next w:val="a"/>
    <w:qFormat/>
    <w:pPr>
      <w:ind w:firstLine="420"/>
    </w:pPr>
    <w:rPr>
      <w:szCs w:val="20"/>
    </w:rPr>
  </w:style>
  <w:style w:type="paragraph" w:styleId="a4">
    <w:name w:val="Body Text First Indent"/>
    <w:basedOn w:val="a7"/>
    <w:next w:val="a7"/>
    <w:qFormat/>
    <w:pPr>
      <w:ind w:firstLineChars="100" w:firstLine="100"/>
    </w:pPr>
  </w:style>
  <w:style w:type="paragraph" w:styleId="a7">
    <w:name w:val="Body Text"/>
    <w:basedOn w:val="a"/>
    <w:next w:val="23"/>
    <w:link w:val="a8"/>
    <w:uiPriority w:val="1"/>
    <w:qFormat/>
    <w:pPr>
      <w:ind w:left="221"/>
    </w:pPr>
    <w:rPr>
      <w:sz w:val="32"/>
      <w:szCs w:val="32"/>
    </w:rPr>
  </w:style>
  <w:style w:type="paragraph" w:styleId="23">
    <w:name w:val="Body Text Indent 2"/>
    <w:basedOn w:val="a"/>
    <w:qFormat/>
    <w:pPr>
      <w:spacing w:after="120" w:line="480" w:lineRule="auto"/>
      <w:ind w:leftChars="200" w:left="420"/>
    </w:pPr>
    <w:rPr>
      <w:rFonts w:ascii="Times New Roman" w:eastAsia="宋体" w:hAnsi="Times New Roman" w:cs="Times New Roman"/>
    </w:rPr>
  </w:style>
  <w:style w:type="paragraph" w:styleId="a9">
    <w:name w:val="annotation text"/>
    <w:basedOn w:val="a"/>
    <w:link w:val="aa"/>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b">
    <w:name w:val="Plain Text"/>
    <w:basedOn w:val="a"/>
    <w:link w:val="ac"/>
    <w:qFormat/>
    <w:rPr>
      <w:rFonts w:ascii="宋体" w:hAnsi="Courier New"/>
      <w:szCs w:val="20"/>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3">
    <w:name w:val="Normal (Web)"/>
    <w:basedOn w:val="a"/>
    <w:uiPriority w:val="99"/>
    <w:semiHidden/>
    <w:unhideWhenUsed/>
    <w:qFormat/>
    <w:pPr>
      <w:spacing w:beforeAutospacing="1" w:afterAutospacing="1"/>
      <w:jc w:val="left"/>
    </w:pPr>
    <w:rPr>
      <w:rFonts w:cs="Times New Roman"/>
      <w:kern w:val="0"/>
      <w:sz w:val="24"/>
    </w:rPr>
  </w:style>
  <w:style w:type="paragraph" w:styleId="af4">
    <w:name w:val="annotation subject"/>
    <w:basedOn w:val="a9"/>
    <w:next w:val="a9"/>
    <w:link w:val="af5"/>
    <w:uiPriority w:val="99"/>
    <w:semiHidden/>
    <w:unhideWhenUsed/>
    <w:qFormat/>
    <w:rPr>
      <w:b/>
      <w:bCs/>
    </w:rPr>
  </w:style>
  <w:style w:type="table" w:styleId="af6">
    <w:name w:val="Table Grid"/>
    <w:basedOn w:val="a1"/>
    <w:uiPriority w:val="3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rPr>
  </w:style>
  <w:style w:type="character" w:styleId="af8">
    <w:name w:val="page number"/>
    <w:basedOn w:val="a0"/>
    <w:qFormat/>
  </w:style>
  <w:style w:type="character" w:styleId="af9">
    <w:name w:val="FollowedHyperlink"/>
    <w:basedOn w:val="a0"/>
    <w:uiPriority w:val="99"/>
    <w:semiHidden/>
    <w:unhideWhenUsed/>
    <w:qFormat/>
    <w:rPr>
      <w:color w:val="954F72"/>
      <w:u w:val="single"/>
    </w:rPr>
  </w:style>
  <w:style w:type="character" w:styleId="afa">
    <w:name w:val="Hyperlink"/>
    <w:basedOn w:val="a0"/>
    <w:uiPriority w:val="99"/>
    <w:unhideWhenUsed/>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1">
    <w:name w:val="标题 1 字符"/>
    <w:basedOn w:val="a0"/>
    <w:link w:val="10"/>
    <w:uiPriority w:val="9"/>
    <w:qFormat/>
    <w:rPr>
      <w:rFonts w:ascii="方正小标宋简体" w:eastAsia="方正小标宋简体" w:hAnsi="方正小标宋简体" w:cs="方正小标宋简体"/>
      <w:kern w:val="2"/>
      <w:sz w:val="44"/>
      <w:szCs w:val="44"/>
    </w:rPr>
  </w:style>
  <w:style w:type="character" w:customStyle="1" w:styleId="a6">
    <w:name w:val="正文文本缩进 字符"/>
    <w:basedOn w:val="a0"/>
    <w:link w:val="a3"/>
    <w:qFormat/>
    <w:rPr>
      <w:rFonts w:ascii="宋体" w:eastAsiaTheme="minorEastAsia" w:hAnsi="宋体" w:cs="宋体"/>
      <w:sz w:val="21"/>
      <w:szCs w:val="21"/>
    </w:rPr>
  </w:style>
  <w:style w:type="character" w:customStyle="1" w:styleId="22">
    <w:name w:val="正文文本首行缩进 2 字符"/>
    <w:basedOn w:val="a6"/>
    <w:link w:val="2"/>
    <w:qFormat/>
    <w:rPr>
      <w:rFonts w:ascii="宋体" w:eastAsiaTheme="minorEastAsia" w:hAnsi="宋体" w:cs="宋体"/>
      <w:sz w:val="21"/>
      <w:szCs w:val="21"/>
    </w:rPr>
  </w:style>
  <w:style w:type="character" w:customStyle="1" w:styleId="a8">
    <w:name w:val="正文文本 字符"/>
    <w:basedOn w:val="a0"/>
    <w:link w:val="a7"/>
    <w:uiPriority w:val="1"/>
    <w:qFormat/>
    <w:rPr>
      <w:rFonts w:asciiTheme="minorHAnsi" w:eastAsiaTheme="minorEastAsia" w:hAnsiTheme="minorHAnsi" w:cstheme="minorBidi"/>
      <w:kern w:val="2"/>
      <w:sz w:val="32"/>
      <w:szCs w:val="32"/>
    </w:rPr>
  </w:style>
  <w:style w:type="character" w:customStyle="1" w:styleId="aa">
    <w:name w:val="批注文字 字符"/>
    <w:basedOn w:val="a0"/>
    <w:link w:val="a9"/>
    <w:uiPriority w:val="99"/>
    <w:semiHidden/>
    <w:qFormat/>
    <w:rPr>
      <w:rFonts w:asciiTheme="minorHAnsi" w:eastAsiaTheme="minorEastAsia" w:hAnsiTheme="minorHAnsi" w:cstheme="minorBidi"/>
      <w:kern w:val="2"/>
      <w:sz w:val="21"/>
      <w:szCs w:val="22"/>
    </w:rPr>
  </w:style>
  <w:style w:type="character" w:customStyle="1" w:styleId="af5">
    <w:name w:val="批注主题 字符"/>
    <w:basedOn w:val="aa"/>
    <w:link w:val="af4"/>
    <w:uiPriority w:val="99"/>
    <w:semiHidden/>
    <w:qFormat/>
    <w:rPr>
      <w:rFonts w:asciiTheme="minorHAnsi" w:eastAsiaTheme="minorEastAsia" w:hAnsiTheme="minorHAnsi" w:cstheme="minorBidi"/>
      <w:b/>
      <w:bCs/>
      <w:kern w:val="2"/>
      <w:sz w:val="21"/>
      <w:szCs w:val="22"/>
    </w:rPr>
  </w:style>
  <w:style w:type="character" w:customStyle="1" w:styleId="21">
    <w:name w:val="标题 2 字符"/>
    <w:basedOn w:val="a0"/>
    <w:link w:val="20"/>
    <w:uiPriority w:val="9"/>
    <w:qFormat/>
    <w:rPr>
      <w:b/>
      <w:bCs/>
      <w:kern w:val="2"/>
      <w:sz w:val="24"/>
      <w:szCs w:val="32"/>
      <w:lang w:val="zh-CN"/>
    </w:rPr>
  </w:style>
  <w:style w:type="character" w:customStyle="1" w:styleId="30">
    <w:name w:val="标题 3 字符"/>
    <w:basedOn w:val="a0"/>
    <w:link w:val="3"/>
    <w:uiPriority w:val="9"/>
    <w:qFormat/>
    <w:rPr>
      <w:rFonts w:eastAsia="仿宋_GB2312" w:cstheme="minorBidi"/>
      <w:bCs/>
      <w:kern w:val="2"/>
      <w:sz w:val="30"/>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qFormat/>
    <w:rPr>
      <w:bCs/>
      <w:kern w:val="2"/>
      <w:sz w:val="24"/>
      <w:szCs w:val="28"/>
      <w:lang w:val="zh-CN"/>
    </w:rPr>
  </w:style>
  <w:style w:type="character" w:customStyle="1" w:styleId="60">
    <w:name w:val="标题 6 字符"/>
    <w:basedOn w:val="a0"/>
    <w:link w:val="6"/>
    <w:uiPriority w:val="9"/>
    <w:qFormat/>
    <w:rPr>
      <w:bCs/>
      <w:kern w:val="2"/>
      <w:sz w:val="24"/>
      <w:szCs w:val="24"/>
      <w:lang w:val="zh-CN"/>
    </w:rPr>
  </w:style>
  <w:style w:type="character" w:customStyle="1" w:styleId="70">
    <w:name w:val="标题 7 字符"/>
    <w:basedOn w:val="a0"/>
    <w:link w:val="7"/>
    <w:uiPriority w:val="9"/>
    <w:qFormat/>
    <w:rPr>
      <w:bCs/>
      <w:kern w:val="2"/>
      <w:sz w:val="24"/>
      <w:szCs w:val="24"/>
      <w:lang w:val="zh-CN"/>
    </w:rPr>
  </w:style>
  <w:style w:type="character" w:customStyle="1" w:styleId="80">
    <w:name w:val="标题 8 字符"/>
    <w:basedOn w:val="a0"/>
    <w:link w:val="8"/>
    <w:uiPriority w:val="9"/>
    <w:qFormat/>
    <w:rPr>
      <w:rFonts w:eastAsia="黑体"/>
      <w:kern w:val="2"/>
      <w:sz w:val="21"/>
      <w:szCs w:val="24"/>
      <w:lang w:val="zh-CN"/>
    </w:rPr>
  </w:style>
  <w:style w:type="character" w:customStyle="1" w:styleId="90">
    <w:name w:val="标题 9 字符"/>
    <w:basedOn w:val="a0"/>
    <w:link w:val="9"/>
    <w:uiPriority w:val="9"/>
    <w:qFormat/>
    <w:rPr>
      <w:rFonts w:eastAsia="黑体"/>
      <w:kern w:val="2"/>
      <w:sz w:val="21"/>
      <w:szCs w:val="21"/>
      <w:lang w:val="zh-CN"/>
    </w:rPr>
  </w:style>
  <w:style w:type="character" w:customStyle="1" w:styleId="ac">
    <w:name w:val="纯文本 字符"/>
    <w:basedOn w:val="a0"/>
    <w:link w:val="ab"/>
    <w:qFormat/>
    <w:rPr>
      <w:rFonts w:ascii="宋体" w:eastAsiaTheme="minorEastAsia" w:hAnsi="Courier New" w:cstheme="minorBidi"/>
      <w:kern w:val="2"/>
      <w:sz w:val="21"/>
    </w:rPr>
  </w:style>
  <w:style w:type="character" w:customStyle="1" w:styleId="ae">
    <w:name w:val="批注框文本 字符"/>
    <w:basedOn w:val="a0"/>
    <w:link w:val="ad"/>
    <w:uiPriority w:val="99"/>
    <w:semiHidden/>
    <w:qFormat/>
    <w:rPr>
      <w:rFonts w:asciiTheme="minorHAnsi" w:eastAsiaTheme="minorEastAsia" w:hAnsiTheme="minorHAnsi" w:cstheme="minorBidi"/>
      <w:kern w:val="2"/>
      <w:sz w:val="18"/>
      <w:szCs w:val="18"/>
    </w:rPr>
  </w:style>
  <w:style w:type="paragraph" w:styleId="afc">
    <w:name w:val="List Paragraph"/>
    <w:basedOn w:val="a"/>
    <w:uiPriority w:val="34"/>
    <w:qFormat/>
    <w:pPr>
      <w:ind w:firstLineChars="200" w:firstLine="420"/>
    </w:pPr>
  </w:style>
  <w:style w:type="paragraph" w:customStyle="1" w:styleId="formatted">
    <w:name w:val="formatted"/>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31">
    <w:name w:val="font31"/>
    <w:basedOn w:val="a0"/>
    <w:qFormat/>
    <w:rPr>
      <w:rFonts w:ascii="仿宋_GB2312" w:eastAsia="仿宋_GB2312" w:cs="仿宋_GB2312"/>
      <w:color w:val="000000"/>
      <w:sz w:val="22"/>
      <w:szCs w:val="22"/>
      <w:u w:val="none"/>
    </w:rPr>
  </w:style>
  <w:style w:type="character" w:customStyle="1" w:styleId="font21">
    <w:name w:val="font21"/>
    <w:basedOn w:val="a0"/>
    <w:qFormat/>
    <w:rPr>
      <w:rFonts w:ascii="仿宋_GB2312" w:eastAsia="仿宋_GB2312" w:cs="仿宋_GB2312" w:hint="eastAsia"/>
      <w:color w:val="000000"/>
      <w:sz w:val="24"/>
      <w:szCs w:val="24"/>
      <w:u w:val="none"/>
    </w:rPr>
  </w:style>
  <w:style w:type="character" w:customStyle="1" w:styleId="font11">
    <w:name w:val="font11"/>
    <w:basedOn w:val="a0"/>
    <w:qFormat/>
    <w:rPr>
      <w:rFonts w:ascii="仿宋_GB2312" w:eastAsia="仿宋_GB2312" w:cs="仿宋_GB2312"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仿宋_GB2312" w:eastAsia="仿宋_GB2312" w:cs="仿宋_GB2312"/>
      <w:color w:val="000000"/>
      <w:sz w:val="24"/>
      <w:szCs w:val="24"/>
      <w:u w:val="none"/>
    </w:rPr>
  </w:style>
  <w:style w:type="paragraph" w:customStyle="1" w:styleId="TOC10">
    <w:name w:val="TOC 标题1"/>
    <w:basedOn w:val="10"/>
    <w:next w:val="a"/>
    <w:uiPriority w:val="39"/>
    <w:unhideWhenUsed/>
    <w:qFormat/>
    <w:pPr>
      <w:keepNext/>
      <w:keepLines/>
      <w:widowControl/>
      <w:spacing w:before="240" w:line="259" w:lineRule="auto"/>
      <w:ind w:left="4536" w:right="0"/>
      <w:jc w:val="left"/>
      <w:outlineLvl w:val="9"/>
    </w:pPr>
    <w:rPr>
      <w:rFonts w:asciiTheme="majorHAnsi" w:eastAsiaTheme="majorEastAsia" w:hAnsiTheme="majorHAnsi" w:cstheme="majorBidi"/>
      <w:color w:val="2E74B5" w:themeColor="accent1" w:themeShade="BF"/>
      <w:kern w:val="0"/>
      <w:sz w:val="32"/>
      <w:szCs w:val="32"/>
    </w:rPr>
  </w:style>
  <w:style w:type="paragraph" w:customStyle="1" w:styleId="CharChar9">
    <w:name w:val="Char Char9"/>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d">
    <w:name w:val="李岩"/>
    <w:basedOn w:val="10"/>
    <w:link w:val="afe"/>
    <w:qFormat/>
    <w:pPr>
      <w:keepNext/>
      <w:keepLines/>
      <w:spacing w:before="240" w:after="120"/>
      <w:ind w:right="0"/>
    </w:pPr>
    <w:rPr>
      <w:rFonts w:ascii="Calibri" w:eastAsiaTheme="minorEastAsia" w:hAnsi="Calibri" w:cstheme="minorBidi"/>
      <w:b/>
      <w:bCs/>
      <w:kern w:val="44"/>
      <w:sz w:val="32"/>
    </w:rPr>
  </w:style>
  <w:style w:type="character" w:customStyle="1" w:styleId="afe">
    <w:name w:val="李岩 字符"/>
    <w:basedOn w:val="11"/>
    <w:link w:val="afd"/>
    <w:qFormat/>
    <w:rPr>
      <w:rFonts w:ascii="Calibri" w:eastAsiaTheme="minorEastAsia" w:hAnsi="Calibri" w:cstheme="minorBidi"/>
      <w:b/>
      <w:bCs/>
      <w:kern w:val="44"/>
      <w:sz w:val="32"/>
      <w:szCs w:val="44"/>
    </w:rPr>
  </w:style>
  <w:style w:type="paragraph" w:customStyle="1" w:styleId="aff">
    <w:name w:val="第一标题"/>
    <w:basedOn w:val="10"/>
    <w:link w:val="aff0"/>
    <w:qFormat/>
    <w:pPr>
      <w:keepNext/>
      <w:keepLines/>
      <w:pageBreakBefore/>
      <w:spacing w:before="240" w:after="120" w:line="360" w:lineRule="auto"/>
      <w:ind w:right="0"/>
    </w:pPr>
    <w:rPr>
      <w:rFonts w:asciiTheme="minorHAnsi" w:eastAsiaTheme="minorEastAsia" w:hAnsiTheme="minorHAnsi" w:cstheme="minorBidi"/>
      <w:b/>
      <w:bCs/>
      <w:kern w:val="44"/>
      <w:sz w:val="32"/>
      <w:lang w:val="zh-CN"/>
    </w:rPr>
  </w:style>
  <w:style w:type="character" w:customStyle="1" w:styleId="aff0">
    <w:name w:val="第一标题 字符"/>
    <w:basedOn w:val="11"/>
    <w:link w:val="aff"/>
    <w:qFormat/>
    <w:rPr>
      <w:rFonts w:asciiTheme="minorHAnsi" w:eastAsiaTheme="minorEastAsia" w:hAnsiTheme="minorHAnsi" w:cstheme="minorBidi"/>
      <w:b/>
      <w:bCs/>
      <w:kern w:val="44"/>
      <w:sz w:val="32"/>
      <w:szCs w:val="44"/>
      <w:lang w:val="zh-CN"/>
    </w:rPr>
  </w:style>
  <w:style w:type="paragraph" w:customStyle="1" w:styleId="13">
    <w:name w:val="第一标题1"/>
    <w:basedOn w:val="10"/>
    <w:link w:val="14"/>
    <w:qFormat/>
    <w:pPr>
      <w:keepNext/>
      <w:keepLines/>
      <w:spacing w:before="240" w:after="120"/>
      <w:ind w:right="0"/>
    </w:pPr>
    <w:rPr>
      <w:rFonts w:ascii="Calibri" w:eastAsiaTheme="minorEastAsia" w:hAnsi="Calibri" w:cstheme="minorBidi"/>
      <w:b/>
      <w:bCs/>
      <w:kern w:val="44"/>
      <w:sz w:val="32"/>
    </w:rPr>
  </w:style>
  <w:style w:type="character" w:customStyle="1" w:styleId="14">
    <w:name w:val="第一标题1 字符"/>
    <w:basedOn w:val="11"/>
    <w:link w:val="13"/>
    <w:qFormat/>
    <w:rPr>
      <w:rFonts w:ascii="Calibri" w:eastAsiaTheme="minorEastAsia" w:hAnsi="Calibri" w:cstheme="minorBidi"/>
      <w:b/>
      <w:bCs/>
      <w:kern w:val="44"/>
      <w:sz w:val="32"/>
      <w:szCs w:val="44"/>
    </w:rPr>
  </w:style>
  <w:style w:type="paragraph" w:customStyle="1" w:styleId="ly3">
    <w:name w:val="一级标题ly"/>
    <w:basedOn w:val="10"/>
    <w:link w:val="ly4"/>
    <w:qFormat/>
    <w:pPr>
      <w:keepNext/>
      <w:keepLines/>
      <w:pageBreakBefore/>
      <w:spacing w:before="240" w:after="120" w:line="360" w:lineRule="auto"/>
      <w:ind w:right="0"/>
    </w:pPr>
    <w:rPr>
      <w:rFonts w:asciiTheme="minorHAnsi" w:eastAsiaTheme="minorEastAsia" w:hAnsiTheme="minorHAnsi" w:cstheme="minorBidi"/>
      <w:b/>
      <w:bCs/>
      <w:kern w:val="44"/>
      <w:sz w:val="32"/>
      <w:lang w:val="zh-CN"/>
    </w:rPr>
  </w:style>
  <w:style w:type="character" w:customStyle="1" w:styleId="ly4">
    <w:name w:val="一级标题ly 字符"/>
    <w:basedOn w:val="11"/>
    <w:link w:val="ly3"/>
    <w:qFormat/>
    <w:rPr>
      <w:rFonts w:asciiTheme="minorHAnsi" w:eastAsiaTheme="minorEastAsia" w:hAnsiTheme="minorHAnsi" w:cstheme="minorBidi"/>
      <w:b/>
      <w:bCs/>
      <w:kern w:val="44"/>
      <w:sz w:val="32"/>
      <w:szCs w:val="44"/>
      <w:lang w:val="zh-CN"/>
    </w:rPr>
  </w:style>
  <w:style w:type="paragraph" w:customStyle="1" w:styleId="ly">
    <w:name w:val="ly一级标题"/>
    <w:basedOn w:val="10"/>
    <w:link w:val="ly5"/>
    <w:qFormat/>
    <w:pPr>
      <w:keepNext/>
      <w:keepLines/>
      <w:numPr>
        <w:numId w:val="1"/>
      </w:numPr>
      <w:spacing w:before="240" w:after="120"/>
      <w:ind w:right="0" w:firstLine="643"/>
    </w:pPr>
    <w:rPr>
      <w:rFonts w:ascii="Calibri" w:eastAsiaTheme="minorEastAsia" w:hAnsi="Calibri" w:cstheme="majorBidi"/>
      <w:b/>
      <w:bCs/>
      <w:kern w:val="44"/>
      <w:sz w:val="32"/>
    </w:rPr>
  </w:style>
  <w:style w:type="character" w:customStyle="1" w:styleId="ly5">
    <w:name w:val="ly一级标题 字符"/>
    <w:basedOn w:val="11"/>
    <w:link w:val="ly"/>
    <w:qFormat/>
    <w:rPr>
      <w:rFonts w:ascii="Calibri" w:eastAsiaTheme="minorEastAsia" w:hAnsi="Calibri" w:cstheme="majorBidi"/>
      <w:b/>
      <w:bCs/>
      <w:kern w:val="44"/>
      <w:sz w:val="32"/>
      <w:szCs w:val="44"/>
    </w:rPr>
  </w:style>
  <w:style w:type="paragraph" w:customStyle="1" w:styleId="ly0">
    <w:name w:val="ly二级标题"/>
    <w:basedOn w:val="a"/>
    <w:link w:val="ly6"/>
    <w:qFormat/>
    <w:pPr>
      <w:numPr>
        <w:ilvl w:val="1"/>
        <w:numId w:val="2"/>
      </w:numPr>
      <w:spacing w:beforeLines="50" w:before="156" w:afterLines="50" w:after="156" w:line="360" w:lineRule="auto"/>
      <w:outlineLvl w:val="1"/>
    </w:pPr>
    <w:rPr>
      <w:rFonts w:ascii="Times New Roman" w:eastAsia="宋体" w:hAnsi="Times New Roman" w:cs="Times New Roman"/>
      <w:b/>
      <w:bCs/>
      <w:sz w:val="30"/>
      <w:szCs w:val="30"/>
      <w:lang w:val="zh-CN"/>
    </w:rPr>
  </w:style>
  <w:style w:type="character" w:customStyle="1" w:styleId="ly6">
    <w:name w:val="ly二级标题 字符"/>
    <w:basedOn w:val="a0"/>
    <w:link w:val="ly0"/>
    <w:qFormat/>
    <w:rPr>
      <w:b/>
      <w:bCs/>
      <w:kern w:val="2"/>
      <w:sz w:val="30"/>
      <w:szCs w:val="30"/>
      <w:lang w:val="zh-CN"/>
    </w:rPr>
  </w:style>
  <w:style w:type="paragraph" w:customStyle="1" w:styleId="ly7">
    <w:name w:val="ly正文"/>
    <w:basedOn w:val="a"/>
    <w:link w:val="ly8"/>
    <w:qFormat/>
    <w:pPr>
      <w:spacing w:line="420" w:lineRule="exact"/>
      <w:ind w:firstLineChars="200" w:firstLine="480"/>
    </w:pPr>
    <w:rPr>
      <w:rFonts w:ascii="Times New Roman" w:eastAsia="宋体" w:hAnsi="Times New Roman" w:cs="Times New Roman"/>
      <w:sz w:val="24"/>
      <w:szCs w:val="32"/>
      <w:lang w:val="zh-CN"/>
    </w:rPr>
  </w:style>
  <w:style w:type="character" w:customStyle="1" w:styleId="ly8">
    <w:name w:val="ly正文 字符"/>
    <w:basedOn w:val="a0"/>
    <w:link w:val="ly7"/>
    <w:qFormat/>
    <w:rPr>
      <w:kern w:val="2"/>
      <w:sz w:val="24"/>
      <w:szCs w:val="32"/>
      <w:lang w:val="zh-CN"/>
    </w:rPr>
  </w:style>
  <w:style w:type="paragraph" w:customStyle="1" w:styleId="1">
    <w:name w:val="样式1"/>
    <w:basedOn w:val="ly0"/>
    <w:link w:val="15"/>
    <w:qFormat/>
    <w:pPr>
      <w:numPr>
        <w:numId w:val="3"/>
      </w:numPr>
      <w:jc w:val="left"/>
    </w:pPr>
  </w:style>
  <w:style w:type="character" w:customStyle="1" w:styleId="15">
    <w:name w:val="样式1 字符"/>
    <w:basedOn w:val="ly6"/>
    <w:link w:val="1"/>
    <w:qFormat/>
    <w:rPr>
      <w:b/>
      <w:bCs/>
      <w:kern w:val="2"/>
      <w:sz w:val="30"/>
      <w:szCs w:val="30"/>
      <w:lang w:val="zh-CN"/>
    </w:rPr>
  </w:style>
  <w:style w:type="paragraph" w:customStyle="1" w:styleId="aff1">
    <w:name w:val="二级标题"/>
    <w:basedOn w:val="a"/>
    <w:link w:val="aff2"/>
    <w:qFormat/>
    <w:pPr>
      <w:spacing w:beforeLines="50" w:before="156" w:afterLines="50" w:after="156" w:line="360" w:lineRule="auto"/>
      <w:outlineLvl w:val="1"/>
    </w:pPr>
    <w:rPr>
      <w:rFonts w:ascii="Times New Roman" w:eastAsia="宋体" w:hAnsi="Times New Roman" w:cstheme="majorBidi"/>
      <w:b/>
      <w:bCs/>
      <w:sz w:val="30"/>
      <w:szCs w:val="30"/>
      <w:lang w:val="zh-CN"/>
    </w:rPr>
  </w:style>
  <w:style w:type="character" w:customStyle="1" w:styleId="aff2">
    <w:name w:val="二级标题 字符"/>
    <w:basedOn w:val="a0"/>
    <w:link w:val="aff1"/>
    <w:qFormat/>
    <w:rPr>
      <w:rFonts w:cstheme="majorBidi"/>
      <w:b/>
      <w:bCs/>
      <w:kern w:val="2"/>
      <w:sz w:val="30"/>
      <w:szCs w:val="30"/>
      <w:lang w:val="zh-CN"/>
    </w:rPr>
  </w:style>
  <w:style w:type="paragraph" w:customStyle="1" w:styleId="aff3">
    <w:name w:val="三级标题"/>
    <w:basedOn w:val="3"/>
    <w:link w:val="aff4"/>
    <w:qFormat/>
    <w:pPr>
      <w:keepLines w:val="0"/>
      <w:spacing w:before="50" w:line="240" w:lineRule="auto"/>
    </w:pPr>
    <w:rPr>
      <w:rFonts w:eastAsia="黑体" w:cstheme="majorBidi"/>
      <w:b/>
      <w:sz w:val="24"/>
      <w:szCs w:val="24"/>
      <w:lang w:val="zh-CN"/>
    </w:rPr>
  </w:style>
  <w:style w:type="character" w:customStyle="1" w:styleId="aff4">
    <w:name w:val="三级标题 字符"/>
    <w:basedOn w:val="30"/>
    <w:link w:val="aff3"/>
    <w:qFormat/>
    <w:rPr>
      <w:rFonts w:eastAsia="黑体" w:cstheme="majorBidi"/>
      <w:b/>
      <w:bCs/>
      <w:kern w:val="2"/>
      <w:sz w:val="24"/>
      <w:szCs w:val="24"/>
      <w:lang w:val="zh-CN"/>
    </w:rPr>
  </w:style>
  <w:style w:type="paragraph" w:customStyle="1" w:styleId="ly2">
    <w:name w:val="ly三级标题"/>
    <w:basedOn w:val="3"/>
    <w:link w:val="ly9"/>
    <w:qFormat/>
    <w:pPr>
      <w:keepLines w:val="0"/>
      <w:numPr>
        <w:ilvl w:val="2"/>
        <w:numId w:val="3"/>
      </w:numPr>
      <w:spacing w:before="50" w:line="240" w:lineRule="auto"/>
    </w:pPr>
    <w:rPr>
      <w:rFonts w:eastAsia="黑体" w:cstheme="majorBidi"/>
      <w:b/>
      <w:sz w:val="24"/>
      <w:szCs w:val="24"/>
      <w:lang w:val="zh-CN"/>
    </w:rPr>
  </w:style>
  <w:style w:type="character" w:customStyle="1" w:styleId="ly9">
    <w:name w:val="ly三级标题 字符"/>
    <w:basedOn w:val="30"/>
    <w:link w:val="ly2"/>
    <w:qFormat/>
    <w:rPr>
      <w:rFonts w:eastAsia="黑体" w:cstheme="majorBidi"/>
      <w:b/>
      <w:bCs/>
      <w:kern w:val="2"/>
      <w:sz w:val="24"/>
      <w:szCs w:val="24"/>
      <w:lang w:val="zh-CN"/>
    </w:rPr>
  </w:style>
  <w:style w:type="paragraph" w:customStyle="1" w:styleId="ly1">
    <w:name w:val="ly四级标题"/>
    <w:basedOn w:val="4"/>
    <w:link w:val="lya"/>
    <w:qFormat/>
    <w:pPr>
      <w:keepNext w:val="0"/>
      <w:keepLines w:val="0"/>
      <w:numPr>
        <w:numId w:val="3"/>
      </w:numPr>
      <w:spacing w:beforeLines="50" w:before="156" w:after="0" w:line="360" w:lineRule="exact"/>
      <w:ind w:left="900" w:hanging="420"/>
    </w:pPr>
    <w:rPr>
      <w:rFonts w:eastAsia="黑体"/>
      <w:b w:val="0"/>
      <w:sz w:val="24"/>
      <w:lang w:val="zh-CN"/>
    </w:rPr>
  </w:style>
  <w:style w:type="character" w:customStyle="1" w:styleId="lya">
    <w:name w:val="ly四级标题 字符"/>
    <w:basedOn w:val="40"/>
    <w:link w:val="ly1"/>
    <w:qFormat/>
    <w:rPr>
      <w:rFonts w:asciiTheme="majorHAnsi" w:eastAsia="黑体" w:hAnsiTheme="majorHAnsi" w:cstheme="majorBidi"/>
      <w:b w:val="0"/>
      <w:bCs/>
      <w:kern w:val="2"/>
      <w:sz w:val="24"/>
      <w:szCs w:val="28"/>
      <w:lang w:val="zh-CN"/>
    </w:rPr>
  </w:style>
  <w:style w:type="paragraph" w:customStyle="1" w:styleId="font6">
    <w:name w:val="font6"/>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10">
    <w:name w:val="font10"/>
    <w:basedOn w:val="a"/>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12">
    <w:name w:val="font12"/>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7">
    <w:name w:val="xl77"/>
    <w:basedOn w:val="a"/>
    <w:qFormat/>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2">
    <w:name w:val="xl82"/>
    <w:basedOn w:val="a"/>
    <w:qFormat/>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7">
    <w:name w:val="xl87"/>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3">
    <w:name w:val="xl9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95">
    <w:name w:val="xl95"/>
    <w:basedOn w:val="a"/>
    <w:qFormat/>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97">
    <w:name w:val="xl97"/>
    <w:basedOn w:val="a"/>
    <w:qFormat/>
    <w:pPr>
      <w:widowControl/>
      <w:pBdr>
        <w:top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8">
    <w:name w:val="xl98"/>
    <w:basedOn w:val="a"/>
    <w:qFormat/>
    <w:pPr>
      <w:widowControl/>
      <w:pBdr>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font13">
    <w:name w:val="font13"/>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4">
    <w:name w:val="font14"/>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801</Words>
  <Characters>4570</Characters>
  <Application>Microsoft Office Word</Application>
  <DocSecurity>0</DocSecurity>
  <Lines>38</Lines>
  <Paragraphs>10</Paragraphs>
  <ScaleCrop>false</ScaleCrop>
  <Company>Microsoft</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李炜玮</dc:creator>
  <cp:lastModifiedBy>贵 黄</cp:lastModifiedBy>
  <cp:revision>2</cp:revision>
  <cp:lastPrinted>2026-01-08T01:15:00Z</cp:lastPrinted>
  <dcterms:created xsi:type="dcterms:W3CDTF">2026-01-14T03:34:00Z</dcterms:created>
  <dcterms:modified xsi:type="dcterms:W3CDTF">2026-01-14T03:34:00Z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4123B834F8DF4719BAE071933E5C2AC2_13</vt:lpwstr>
  </property>
  <property fmtid="{D5CDD505-2E9C-101B-9397-08002B2CF9AE}" pid="4" name="KSOTemplateDocerSaveRecord">
    <vt:lpwstr>eyJoZGlkIjoiNjc1ZGMyYzA1MjhjZjMyOTFlNGEwMjczMzQwY2IyZDAiLCJ1c2VySWQiOiI2NTIzODIwNzIifQ==</vt:lpwstr>
  </property>
</Properties>
</file>