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B2231">
      <w:pPr>
        <w:rPr>
          <w:rFonts w:ascii="方正黑体_GBK" w:hAnsi="方正黑体_GBK" w:eastAsia="方正黑体_GBK" w:cs="方正黑体_GBK"/>
          <w:b/>
          <w:sz w:val="40"/>
          <w:szCs w:val="40"/>
        </w:rPr>
      </w:pPr>
      <w:r>
        <w:rPr>
          <w:rFonts w:hint="eastAsia" w:ascii="方正黑体_GBK" w:hAnsi="方正黑体_GBK" w:eastAsia="方正黑体_GBK" w:cs="方正黑体_GBK"/>
          <w:bCs/>
          <w:sz w:val="32"/>
          <w:szCs w:val="36"/>
        </w:rPr>
        <w:t>附件</w:t>
      </w:r>
    </w:p>
    <w:p w14:paraId="070B3D32">
      <w:pPr>
        <w:keepNext w:val="0"/>
        <w:keepLines w:val="0"/>
        <w:pageBreakBefore w:val="0"/>
        <w:widowControl w:val="0"/>
        <w:kinsoku/>
        <w:overflowPunct/>
        <w:topLinePunct w:val="0"/>
        <w:autoSpaceDE/>
        <w:autoSpaceDN/>
        <w:bidi w:val="0"/>
        <w:adjustRightInd/>
        <w:snapToGrid w:val="0"/>
        <w:spacing w:line="580" w:lineRule="exact"/>
        <w:jc w:val="center"/>
        <w:textAlignment w:val="auto"/>
        <w:rPr>
          <w:rFonts w:ascii="Times New Roman" w:hAnsi="Times New Roman" w:eastAsia="方正小标宋_GBK" w:cs="Times New Roman"/>
          <w:kern w:val="0"/>
          <w:sz w:val="44"/>
          <w:szCs w:val="44"/>
          <w:lang w:bidi="zh-CN"/>
        </w:rPr>
      </w:pPr>
    </w:p>
    <w:p w14:paraId="19E01E2D">
      <w:pPr>
        <w:keepNext w:val="0"/>
        <w:keepLines w:val="0"/>
        <w:pageBreakBefore w:val="0"/>
        <w:widowControl w:val="0"/>
        <w:kinsoku/>
        <w:wordWrap w:val="0"/>
        <w:overflowPunct/>
        <w:topLinePunct w:val="0"/>
        <w:autoSpaceDE/>
        <w:autoSpaceDN/>
        <w:bidi w:val="0"/>
        <w:adjustRightInd/>
        <w:snapToGrid w:val="0"/>
        <w:spacing w:line="580" w:lineRule="exact"/>
        <w:jc w:val="center"/>
        <w:textAlignment w:val="auto"/>
        <w:rPr>
          <w:rFonts w:hint="eastAsia" w:ascii="Times New Roman" w:hAnsi="Times New Roman" w:eastAsia="方正小标宋_GBK" w:cs="Times New Roman"/>
          <w:kern w:val="0"/>
          <w:sz w:val="44"/>
          <w:szCs w:val="44"/>
          <w:lang w:bidi="zh-CN"/>
        </w:rPr>
      </w:pPr>
      <w:bookmarkStart w:id="0" w:name="_Hlk187741596"/>
      <w:r>
        <w:rPr>
          <w:rFonts w:hint="eastAsia" w:ascii="Times New Roman" w:hAnsi="Times New Roman" w:eastAsia="方正小标宋_GBK" w:cs="Times New Roman"/>
          <w:kern w:val="0"/>
          <w:sz w:val="44"/>
          <w:szCs w:val="44"/>
          <w:lang w:bidi="zh-CN"/>
        </w:rPr>
        <w:t>泰兴市202</w:t>
      </w:r>
      <w:r>
        <w:rPr>
          <w:rFonts w:hint="eastAsia" w:ascii="Times New Roman" w:hAnsi="Times New Roman" w:eastAsia="方正小标宋_GBK" w:cs="Times New Roman"/>
          <w:kern w:val="0"/>
          <w:sz w:val="44"/>
          <w:szCs w:val="44"/>
          <w:lang w:val="en-US" w:bidi="zh-CN"/>
        </w:rPr>
        <w:t>5</w:t>
      </w:r>
      <w:r>
        <w:rPr>
          <w:rFonts w:hint="eastAsia" w:ascii="Times New Roman" w:hAnsi="Times New Roman" w:eastAsia="方正小标宋_GBK" w:cs="Times New Roman"/>
          <w:kern w:val="0"/>
          <w:sz w:val="44"/>
          <w:szCs w:val="44"/>
          <w:lang w:bidi="zh-CN"/>
        </w:rPr>
        <w:t>-0</w:t>
      </w:r>
      <w:r>
        <w:rPr>
          <w:rFonts w:hint="eastAsia" w:ascii="Times New Roman" w:hAnsi="Times New Roman" w:eastAsia="方正小标宋_GBK" w:cs="Times New Roman"/>
          <w:kern w:val="0"/>
          <w:sz w:val="44"/>
          <w:szCs w:val="44"/>
          <w:lang w:val="en-US" w:bidi="zh-CN"/>
        </w:rPr>
        <w:t>2</w:t>
      </w:r>
      <w:r>
        <w:rPr>
          <w:rFonts w:hint="eastAsia" w:ascii="Times New Roman" w:hAnsi="Times New Roman" w:eastAsia="方正小标宋_GBK" w:cs="Times New Roman"/>
          <w:kern w:val="0"/>
          <w:sz w:val="44"/>
          <w:szCs w:val="44"/>
          <w:lang w:bidi="zh-CN"/>
        </w:rPr>
        <w:t>号土地征收成片开发方案</w:t>
      </w:r>
    </w:p>
    <w:p w14:paraId="4ECC2443">
      <w:pPr>
        <w:pStyle w:val="26"/>
        <w:spacing w:line="240" w:lineRule="auto"/>
        <w:ind w:firstLine="0" w:firstLineChars="0"/>
        <w:jc w:val="center"/>
        <w:rPr>
          <w:rFonts w:hint="eastAsia"/>
        </w:rPr>
      </w:pPr>
      <w:r>
        <w:rPr>
          <w:rFonts w:hint="eastAsia" w:ascii="Times New Roman" w:hAnsi="Times New Roman" w:eastAsia="方正小标宋_GBK" w:cs="Times New Roman"/>
          <w:kern w:val="0"/>
          <w:sz w:val="44"/>
          <w:szCs w:val="44"/>
          <w:lang w:bidi="zh-CN"/>
        </w:rPr>
        <w:t>（</w:t>
      </w:r>
      <w:r>
        <w:rPr>
          <w:rFonts w:hint="eastAsia" w:ascii="Times New Roman" w:hAnsi="Times New Roman" w:eastAsia="方正小标宋_GBK" w:cs="Times New Roman"/>
          <w:kern w:val="0"/>
          <w:sz w:val="44"/>
          <w:szCs w:val="44"/>
          <w:lang w:val="en-US" w:bidi="zh-CN"/>
        </w:rPr>
        <w:t>征求意见稿</w:t>
      </w:r>
      <w:r>
        <w:rPr>
          <w:rFonts w:hint="eastAsia" w:ascii="Times New Roman" w:hAnsi="Times New Roman" w:eastAsia="方正小标宋_GBK" w:cs="Times New Roman"/>
          <w:kern w:val="0"/>
          <w:sz w:val="44"/>
          <w:szCs w:val="44"/>
          <w:lang w:bidi="zh-CN"/>
        </w:rPr>
        <w:t>）</w:t>
      </w:r>
    </w:p>
    <w:p w14:paraId="739EE1B4">
      <w:pPr>
        <w:pStyle w:val="26"/>
        <w:keepNext w:val="0"/>
        <w:keepLines w:val="0"/>
        <w:pageBreakBefore w:val="0"/>
        <w:widowControl w:val="0"/>
        <w:kinsoku/>
        <w:overflowPunct/>
        <w:topLinePunct w:val="0"/>
        <w:autoSpaceDE/>
        <w:autoSpaceDN/>
        <w:bidi w:val="0"/>
        <w:adjustRightInd/>
        <w:spacing w:line="580" w:lineRule="exact"/>
        <w:textAlignment w:val="auto"/>
      </w:pPr>
    </w:p>
    <w:bookmarkEnd w:id="0"/>
    <w:p w14:paraId="5B4E4D0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中华人民共和国土地管理法》《自然资源部关于印发&lt;土地征收成片开发标准&gt;的通知》（自然资规〔2023〕7号）、《江苏省自然资源厅关于开展土地征收成片开发方案编制工作的通知》（苏自然资函〔2021〕15号）、《江苏省自然资源厅关于深入推进土地征收成片开发方案编制工作的通知》（苏自然资函〔2024〕939号）等法规政策要求，泰兴市人民政府组织编制了《</w:t>
      </w:r>
      <w:r>
        <w:rPr>
          <w:rFonts w:hint="default" w:ascii="Times New Roman" w:hAnsi="Times New Roman" w:eastAsia="方正仿宋_GBK" w:cs="Times New Roman"/>
          <w:sz w:val="32"/>
          <w:szCs w:val="32"/>
          <w:lang w:eastAsia="zh-CN"/>
        </w:rPr>
        <w:t>泰兴市202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-0</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号土地征收成片开发方案</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征求意见稿</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》。现将方案主要内容公示如下：</w:t>
      </w:r>
    </w:p>
    <w:p w14:paraId="081F89A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一、编制依据</w:t>
      </w:r>
    </w:p>
    <w:p w14:paraId="2AF46BA3">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420" w:firstLineChars="0"/>
        <w:textAlignment w:val="auto"/>
        <w:rPr>
          <w:rFonts w:hint="default" w:ascii="Times New Roman" w:hAnsi="Times New Roman" w:eastAsia="楷体_GB2312" w:cs="Times New Roman"/>
          <w:sz w:val="32"/>
          <w:szCs w:val="32"/>
        </w:rPr>
      </w:pPr>
      <w:r>
        <w:rPr>
          <w:rFonts w:hint="default" w:ascii="Times New Roman" w:hAnsi="Times New Roman" w:eastAsia="方正楷体_GBK" w:cs="Times New Roman"/>
          <w:sz w:val="32"/>
          <w:szCs w:val="32"/>
        </w:rPr>
        <w:t>法律、法规和规章</w:t>
      </w:r>
    </w:p>
    <w:p w14:paraId="13B6BC02">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《中华人民共和国民法典》；</w:t>
      </w:r>
    </w:p>
    <w:p w14:paraId="35BCC57E">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《中华人民共和国土地管理法》；</w:t>
      </w:r>
    </w:p>
    <w:p w14:paraId="331484FB">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《中华人民共和国水法》；</w:t>
      </w:r>
    </w:p>
    <w:p w14:paraId="4FE33427">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《中华人民共和国防洪法》；</w:t>
      </w:r>
    </w:p>
    <w:p w14:paraId="42ADC037">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《中华人民共和国选举法》；</w:t>
      </w:r>
    </w:p>
    <w:p w14:paraId="3B2611D7">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《中华人民共和国居民委员会组织法》；</w:t>
      </w:r>
    </w:p>
    <w:p w14:paraId="21E76F75">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《中华人民共和国村民委员会组织法》；</w:t>
      </w:r>
    </w:p>
    <w:p w14:paraId="058CD86D">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《中华人民共和国农村集体经济组织法》；</w:t>
      </w:r>
    </w:p>
    <w:p w14:paraId="70B448FC">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《中华人民共和国土壤污染防治法》；</w:t>
      </w:r>
    </w:p>
    <w:p w14:paraId="76070C62">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《中华人民共和国土地管理法实施条例》；</w:t>
      </w:r>
    </w:p>
    <w:p w14:paraId="52E01D47">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《基本农田保护条例》；</w:t>
      </w:r>
    </w:p>
    <w:p w14:paraId="233F099B">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《江苏省土地管理条例》；</w:t>
      </w:r>
    </w:p>
    <w:p w14:paraId="16D816A0">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《江苏省河道管理条例》；</w:t>
      </w:r>
    </w:p>
    <w:p w14:paraId="1C0D7437">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《江苏省土壤污染防治条例》；</w:t>
      </w:r>
    </w:p>
    <w:p w14:paraId="247F4788">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《泰州市历史文化名城名镇保护条例》；</w:t>
      </w:r>
    </w:p>
    <w:p w14:paraId="0E690DF0">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《污染地块土壤环境管理办法（试行）》（中华人民共</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和国环境保护部令第42号）；</w:t>
      </w:r>
    </w:p>
    <w:p w14:paraId="70237D5C">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《江苏省实施&lt;中华人民共和国村民委员会组织法&gt;办法》；</w:t>
      </w:r>
    </w:p>
    <w:p w14:paraId="50A1AF2B">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《江苏省水域保护办法》；</w:t>
      </w:r>
    </w:p>
    <w:p w14:paraId="72F7405E">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《江苏省建设项目占用水域管理办法》。</w:t>
      </w:r>
    </w:p>
    <w:p w14:paraId="61D33B60">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420" w:firstLineChars="0"/>
        <w:textAlignment w:val="auto"/>
        <w:rPr>
          <w:rFonts w:hint="default" w:ascii="Times New Roman" w:hAnsi="Times New Roman" w:eastAsia="方正楷体_GBK" w:cs="Times New Roman"/>
          <w:sz w:val="32"/>
          <w:szCs w:val="32"/>
        </w:rPr>
      </w:pPr>
      <w:bookmarkStart w:id="1" w:name="_Hlk135058424"/>
      <w:r>
        <w:rPr>
          <w:rFonts w:hint="default" w:ascii="Times New Roman" w:hAnsi="Times New Roman" w:eastAsia="方正楷体_GBK" w:cs="Times New Roman"/>
          <w:sz w:val="32"/>
          <w:szCs w:val="32"/>
        </w:rPr>
        <w:t>政策文件</w:t>
      </w:r>
    </w:p>
    <w:p w14:paraId="517B094C">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bookmarkStart w:id="2" w:name="_Hlk135320608"/>
      <w:bookmarkStart w:id="3" w:name="_Hlk144719467"/>
      <w:r>
        <w:rPr>
          <w:rFonts w:hint="default" w:ascii="Times New Roman" w:hAnsi="Times New Roman" w:eastAsia="方正仿宋_GBK" w:cs="Times New Roman"/>
          <w:sz w:val="32"/>
          <w:szCs w:val="32"/>
        </w:rPr>
        <w:t>《自然资源部 生态环境部 国家林业和草原局关于加强生态保护红线管理的通知（试行）》（自然资发〔2022〕142号）；</w:t>
      </w:r>
    </w:p>
    <w:p w14:paraId="0BFE9588">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《自然资源部关于印发&lt;土地征收成片开发标准&gt;的通知》（自然资规〔2023〕7号）；</w:t>
      </w:r>
    </w:p>
    <w:p w14:paraId="40AF66D7">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《自然资源部关于进一步做好用地用海要素保障的通知》（自然资发〔2023〕89号）；</w:t>
      </w:r>
    </w:p>
    <w:p w14:paraId="033D0A1C">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《自然资源部关于在经济发展用地要素保障工作中严守底线的通知》（自然资发〔2023〕90号）；</w:t>
      </w:r>
    </w:p>
    <w:p w14:paraId="7143A881">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《自然资源部关于印发&lt;国土空间调查、规划、用途管制用地用海分类指南&gt;的通知》（自然资发〔2023〕234号）；</w:t>
      </w:r>
    </w:p>
    <w:p w14:paraId="5F1EBDC9">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《自然资源部关于进一步改进优化能源、交通、水利等重大建设项目用地组卷报批工作的通知》（自然资发〔2024〕36号）；</w:t>
      </w:r>
    </w:p>
    <w:p w14:paraId="6ED895D9">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《自然资源部办公厅关于北京等省（区、市）启用“三区三线”划定成果作为报批建设项目用地用海依据的函》（自然资办函〔2022〕2207号）；</w:t>
      </w:r>
    </w:p>
    <w:p w14:paraId="66CDB8FF">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《自然资源部办公厅关于更新永久基本农田数据库的函》（自然资办函〔2024〕544号）；</w:t>
      </w:r>
    </w:p>
    <w:p w14:paraId="087A1DA6">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《省政府关于江苏省骨干河道名录（2018年修订）的批复》（苏政复〔2019〕20号）；</w:t>
      </w:r>
    </w:p>
    <w:p w14:paraId="601AA61D">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《省政府关于印发江苏省生态空间管控区域规划的通知》（苏政发〔2020〕1号）；</w:t>
      </w:r>
    </w:p>
    <w:p w14:paraId="72BAD033">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《省政府关于印发江苏省承接国家委托用地审批权试点实施方案的通知》（苏政发〔2020〕48号）；</w:t>
      </w:r>
    </w:p>
    <w:p w14:paraId="7DFDA00B">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《江苏省人民政府关于印发江苏省“三线一单”生态环境分区管控方案的通知》（苏政发〔2020〕49号）；</w:t>
      </w:r>
    </w:p>
    <w:p w14:paraId="494C41ED">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《省政府关于印发江苏省被征地农民社会保障办法的通知》（苏政发〔2021〕87号）；</w:t>
      </w:r>
    </w:p>
    <w:p w14:paraId="45C2AB08">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《省政府关于加快建立健全绿色低碳循环发展经济体系的实施意见》（苏政发〔2022〕8号）；</w:t>
      </w:r>
    </w:p>
    <w:p w14:paraId="232358A5">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《中共江苏省委 江苏省人民政府印发关于促进经济持续回升向好的若干政策措施的通知》（苏发〔2023〕9号）；</w:t>
      </w:r>
    </w:p>
    <w:p w14:paraId="4542D7BA">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《省政府关于重新公布江苏省征地区片综合地价最低标准的通知》（苏政规〔2023〕12号）；</w:t>
      </w:r>
    </w:p>
    <w:p w14:paraId="157CFC46">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《省政府办公厅关于印发江苏省生态空间管控区域调整管理办法的通知》（苏政办发〔2021〕3号）；</w:t>
      </w:r>
    </w:p>
    <w:p w14:paraId="04E38E07">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《省政府办公厅关于公布江苏省湖泊保护名录（2021修编）》（苏政办发〔2021〕15号）；</w:t>
      </w:r>
    </w:p>
    <w:p w14:paraId="2643126D">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《省政府办公厅关于印发江苏省生态空间管控区域监督管理办法的通知》（苏政办发〔2021〕20号）；</w:t>
      </w:r>
    </w:p>
    <w:p w14:paraId="18616E61">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（20）《江苏省人民政府办公厅关于进一步推进工业用地提质增效的意见(苏政办发〔2021〕103号)》；</w:t>
      </w:r>
    </w:p>
    <w:p w14:paraId="25F3DF20">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《省政府办公厅关于印发江苏省深入打好净土保卫战实施方案的通知》（苏政办发〔2022〕78号）;</w:t>
      </w:r>
    </w:p>
    <w:p w14:paraId="5B329CB5">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《江苏省自然资源厅关于开展土地征收成片开发方案编制工作的通知》（苏自然资函〔2021〕15号）；</w:t>
      </w:r>
    </w:p>
    <w:p w14:paraId="5FC86827">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《江苏省自然资源厅关于在建设用地审查中严格落实生态空间管控要求的通知》（苏自然资函〔2021〕53号）；</w:t>
      </w:r>
    </w:p>
    <w:p w14:paraId="6DC5916E">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《江苏省自然资源厅关于加快推进土地征收成片开发方案编制工作的通知》（苏自然资发〔2021〕138号）；</w:t>
      </w:r>
    </w:p>
    <w:p w14:paraId="5DAE95D7">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《江苏省自然资源厅关于印发进一步推进工业用地提质增效实施细则的通知》（苏自然资发〔2021〕264号）；</w:t>
      </w:r>
    </w:p>
    <w:p w14:paraId="3BFEB1CA">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《江苏省自然资源厅关于印发&lt;江苏省土地征收成片开发方案编制指南（试行）&gt; &lt;江苏省土地征收成片开发方案审查要点&gt;的通知》（苏自然资函〔2021〕1028号）；</w:t>
      </w:r>
    </w:p>
    <w:p w14:paraId="0D4412DF">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 江苏省农业农村厅 江苏省林业局关于加强耕地保护严格耕地用途管制的通知》（苏自然资发〔2022〕178号）；</w:t>
      </w:r>
    </w:p>
    <w:p w14:paraId="4DEAE3E7">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《江苏省自然资源厅关于进一步做好用地用海要素保障的通知》（苏自然资发〔2023〕200号）；</w:t>
      </w:r>
    </w:p>
    <w:p w14:paraId="4960EA5F">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《江苏省自然资源厅关于深化推进产业园用地提质增效的通知》（苏自然资发〔2023〕322号）；</w:t>
      </w:r>
    </w:p>
    <w:p w14:paraId="60CC571B">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《江苏省自然资源厅关于泰兴市2023年度生态空间管控区域调整方案的复函》（苏自然资〔2023〕432号）；</w:t>
      </w:r>
    </w:p>
    <w:p w14:paraId="60985CC3">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《江苏省自然资源厅关于进一步做好城镇开发边界管理的通知》（苏自然资发〔2024〕122号）；</w:t>
      </w:r>
    </w:p>
    <w:p w14:paraId="58623BBF">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《江苏省自然资源厅转发自然资源部办公厅关于更新永久基本农田数据库的通知》；</w:t>
      </w:r>
    </w:p>
    <w:p w14:paraId="28AD4B7B">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《江苏省自然资源厅关于深入推进土地征收成片开发方案编制工作的通知》（苏自然资函〔2024〕939号）；</w:t>
      </w:r>
    </w:p>
    <w:p w14:paraId="560CD844">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《江苏省农业农村厅关于做好土地征收成片开发等占用高标准农田补建工作的通知》（苏农建〔2021〕16号）；</w:t>
      </w:r>
    </w:p>
    <w:p w14:paraId="76238863">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《关于印发江苏省重大项目建设审批“一件事”改革实施方案的通知》（苏政务办发〔2022〕60号）；</w:t>
      </w:r>
    </w:p>
    <w:p w14:paraId="3E208A5E">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《江苏省人力资源社会保障厅 省财政厅 省自然资源厅 省农业农村厅关于贯彻落实江苏省被征地农民社会保障办法的通知》（苏人社函〔2022〕85号）；</w:t>
      </w:r>
    </w:p>
    <w:p w14:paraId="6EE63680">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《市政府关于印发泰州市被征地农民社会保障实施办法的通知》（泰政规〔2022〕3号）；</w:t>
      </w:r>
    </w:p>
    <w:p w14:paraId="4397274D">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《市政府关于公布泰州市征地地上附着物和青苗等补偿标准的通知》（泰政发〔2023〕104号）；</w:t>
      </w:r>
    </w:p>
    <w:p w14:paraId="61A05E58">
      <w:pPr>
        <w:keepNext w:val="0"/>
        <w:keepLines w:val="0"/>
        <w:pageBreakBefore w:val="0"/>
        <w:widowControl w:val="0"/>
        <w:numPr>
          <w:ilvl w:val="0"/>
          <w:numId w:val="6"/>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《市政府关于重新公布泰兴市征地区片综合地价执行标准的通知》（泰政发〔2024〕1号）。</w:t>
      </w:r>
    </w:p>
    <w:bookmarkEnd w:id="1"/>
    <w:bookmarkEnd w:id="2"/>
    <w:bookmarkEnd w:id="3"/>
    <w:p w14:paraId="044B5FBD">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420" w:firstLine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行业标准</w:t>
      </w:r>
    </w:p>
    <w:p w14:paraId="576F5CF1">
      <w:pPr>
        <w:keepNext w:val="0"/>
        <w:keepLines w:val="0"/>
        <w:pageBreakBefore w:val="0"/>
        <w:widowControl w:val="0"/>
        <w:numPr>
          <w:ilvl w:val="0"/>
          <w:numId w:val="7"/>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bookmarkStart w:id="4" w:name="_Toc27448"/>
      <w:bookmarkStart w:id="5" w:name="_Toc10984"/>
      <w:bookmarkStart w:id="6" w:name="_Toc17114"/>
      <w:bookmarkStart w:id="7" w:name="_Toc7164"/>
      <w:bookmarkStart w:id="8" w:name="_Toc13956"/>
      <w:bookmarkStart w:id="9" w:name="_Toc2317"/>
      <w:bookmarkStart w:id="10" w:name="_Toc1675"/>
      <w:r>
        <w:rPr>
          <w:rFonts w:hint="default" w:ascii="Times New Roman" w:hAnsi="Times New Roman" w:eastAsia="方正仿宋_GBK" w:cs="Times New Roman"/>
          <w:sz w:val="32"/>
          <w:szCs w:val="32"/>
        </w:rPr>
        <w:t>《土地基本术语》（GB/T 19231-2003）；</w:t>
      </w:r>
    </w:p>
    <w:p w14:paraId="451F0926">
      <w:pPr>
        <w:keepNext w:val="0"/>
        <w:keepLines w:val="0"/>
        <w:pageBreakBefore w:val="0"/>
        <w:widowControl w:val="0"/>
        <w:numPr>
          <w:ilvl w:val="0"/>
          <w:numId w:val="7"/>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《土地勘测定界规程》（TD/T 1008-2007）；</w:t>
      </w:r>
    </w:p>
    <w:p w14:paraId="70D6A7DC">
      <w:pPr>
        <w:keepNext w:val="0"/>
        <w:keepLines w:val="0"/>
        <w:pageBreakBefore w:val="0"/>
        <w:widowControl w:val="0"/>
        <w:numPr>
          <w:ilvl w:val="0"/>
          <w:numId w:val="7"/>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《城市用地分类与规划建设用地标准》（GB50137-2011）；</w:t>
      </w:r>
    </w:p>
    <w:p w14:paraId="559DB4D3">
      <w:pPr>
        <w:keepNext w:val="0"/>
        <w:keepLines w:val="0"/>
        <w:pageBreakBefore w:val="0"/>
        <w:widowControl w:val="0"/>
        <w:numPr>
          <w:ilvl w:val="0"/>
          <w:numId w:val="7"/>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《第三次全国国土调查技术规程》（TD/T 1055-2019）；</w:t>
      </w:r>
    </w:p>
    <w:p w14:paraId="115C840A">
      <w:pPr>
        <w:keepNext w:val="0"/>
        <w:keepLines w:val="0"/>
        <w:pageBreakBefore w:val="0"/>
        <w:widowControl w:val="0"/>
        <w:numPr>
          <w:ilvl w:val="0"/>
          <w:numId w:val="7"/>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《国土空间调查、规划、用途管制用地用海分类指南》；</w:t>
      </w:r>
    </w:p>
    <w:p w14:paraId="0D463BD9">
      <w:pPr>
        <w:keepNext w:val="0"/>
        <w:keepLines w:val="0"/>
        <w:pageBreakBefore w:val="0"/>
        <w:widowControl w:val="0"/>
        <w:numPr>
          <w:ilvl w:val="0"/>
          <w:numId w:val="7"/>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《江苏省城镇开发边界内详细规划编制指南（试行）》；</w:t>
      </w:r>
    </w:p>
    <w:p w14:paraId="11E007D9">
      <w:pPr>
        <w:keepNext w:val="0"/>
        <w:keepLines w:val="0"/>
        <w:pageBreakBefore w:val="0"/>
        <w:widowControl w:val="0"/>
        <w:numPr>
          <w:ilvl w:val="0"/>
          <w:numId w:val="7"/>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《江苏省土地征收成片开发方案编制指南（试行）》。</w:t>
      </w:r>
    </w:p>
    <w:bookmarkEnd w:id="4"/>
    <w:bookmarkEnd w:id="5"/>
    <w:bookmarkEnd w:id="6"/>
    <w:bookmarkEnd w:id="7"/>
    <w:bookmarkEnd w:id="8"/>
    <w:bookmarkEnd w:id="9"/>
    <w:bookmarkEnd w:id="10"/>
    <w:p w14:paraId="27F5AA1C">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420" w:firstLine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相关规划</w:t>
      </w:r>
    </w:p>
    <w:p w14:paraId="1CE7CE08">
      <w:pPr>
        <w:keepNext w:val="0"/>
        <w:keepLines w:val="0"/>
        <w:pageBreakBefore w:val="0"/>
        <w:widowControl w:val="0"/>
        <w:numPr>
          <w:ilvl w:val="0"/>
          <w:numId w:val="8"/>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bookmarkStart w:id="11" w:name="_Hlk141088503"/>
      <w:r>
        <w:rPr>
          <w:rFonts w:hint="default" w:ascii="Times New Roman" w:hAnsi="Times New Roman" w:eastAsia="方正仿宋_GBK" w:cs="Times New Roman"/>
          <w:sz w:val="32"/>
          <w:szCs w:val="32"/>
        </w:rPr>
        <w:t>《江苏省生态空间管控区域规划》（苏政发〔2020〕1号）；</w:t>
      </w:r>
    </w:p>
    <w:p w14:paraId="342CA306">
      <w:pPr>
        <w:keepNext w:val="0"/>
        <w:keepLines w:val="0"/>
        <w:pageBreakBefore w:val="0"/>
        <w:widowControl w:val="0"/>
        <w:numPr>
          <w:ilvl w:val="0"/>
          <w:numId w:val="8"/>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《泰州市国土空间总体规划（2021-2035年）》（苏政复〔2023〕19号）；</w:t>
      </w:r>
    </w:p>
    <w:p w14:paraId="505205C3">
      <w:pPr>
        <w:keepNext w:val="0"/>
        <w:keepLines w:val="0"/>
        <w:pageBreakBefore w:val="0"/>
        <w:widowControl w:val="0"/>
        <w:numPr>
          <w:ilvl w:val="0"/>
          <w:numId w:val="8"/>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《泰兴市国土空间总体规划（2021-2035年）》（苏政复〔2023〕29号）；</w:t>
      </w:r>
    </w:p>
    <w:p w14:paraId="5AFCB420">
      <w:pPr>
        <w:keepNext w:val="0"/>
        <w:keepLines w:val="0"/>
        <w:pageBreakBefore w:val="0"/>
        <w:widowControl w:val="0"/>
        <w:numPr>
          <w:ilvl w:val="0"/>
          <w:numId w:val="8"/>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《泰兴市国民经济和社会发展第十四个五年规划和二〇三五年远景目标纲要》（泰政发〔2021〕5号）；</w:t>
      </w:r>
    </w:p>
    <w:p w14:paraId="360F5489">
      <w:pPr>
        <w:keepNext w:val="0"/>
        <w:keepLines w:val="0"/>
        <w:pageBreakBefore w:val="0"/>
        <w:widowControl w:val="0"/>
        <w:numPr>
          <w:ilvl w:val="0"/>
          <w:numId w:val="8"/>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《泰兴市2023年度生态空间管控区域调整方案》（苏自然资〔2023〕432号）；</w:t>
      </w:r>
    </w:p>
    <w:p w14:paraId="6023D121">
      <w:pPr>
        <w:keepNext w:val="0"/>
        <w:keepLines w:val="0"/>
        <w:pageBreakBefore w:val="0"/>
        <w:widowControl w:val="0"/>
        <w:numPr>
          <w:ilvl w:val="0"/>
          <w:numId w:val="8"/>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《泰兴市2025年国民经济和社会发展计划》；</w:t>
      </w:r>
    </w:p>
    <w:p w14:paraId="09138B96">
      <w:pPr>
        <w:keepNext w:val="0"/>
        <w:keepLines w:val="0"/>
        <w:pageBreakBefore w:val="0"/>
        <w:widowControl w:val="0"/>
        <w:numPr>
          <w:ilvl w:val="0"/>
          <w:numId w:val="8"/>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《泰兴市“十四五”综合交通运输体系规划》（泰政发〔2021〕11号）；</w:t>
      </w:r>
    </w:p>
    <w:bookmarkEnd w:id="11"/>
    <w:p w14:paraId="4293D5B8">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0" w:leftChars="0" w:firstLine="420" w:firstLine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已有调查及统计成果</w:t>
      </w:r>
    </w:p>
    <w:p w14:paraId="3C4D2316">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bookmarkStart w:id="12" w:name="_Hlk142263442"/>
      <w:r>
        <w:rPr>
          <w:rFonts w:hint="default" w:ascii="Times New Roman" w:hAnsi="Times New Roman" w:eastAsia="方正仿宋_GBK" w:cs="Times New Roman"/>
          <w:sz w:val="32"/>
          <w:szCs w:val="32"/>
        </w:rPr>
        <w:t>泰兴市历年供地台账数据；</w:t>
      </w:r>
    </w:p>
    <w:p w14:paraId="3C89A65C">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年度国土变更调查成果；</w:t>
      </w:r>
    </w:p>
    <w:p w14:paraId="35B16559">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泰兴市“三区三线”划定成果；</w:t>
      </w:r>
    </w:p>
    <w:p w14:paraId="78C44715">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泰兴市永久基本农田核实处置成果；</w:t>
      </w:r>
    </w:p>
    <w:p w14:paraId="16E73B7F">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泰兴市重要水域设施管理范围线；</w:t>
      </w:r>
    </w:p>
    <w:p w14:paraId="06A31250">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泰兴市粮食生产功能区和重要农产品生产保护区划定成果；</w:t>
      </w:r>
    </w:p>
    <w:p w14:paraId="1B7CA9C0">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泰兴市“十二五”以来高标准农田上图入库成果；</w:t>
      </w:r>
    </w:p>
    <w:p w14:paraId="752C20AF">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泰兴市农村集体土地所有权确权登记成果；</w:t>
      </w:r>
    </w:p>
    <w:p w14:paraId="0B22ADB9">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泰州市2025年省级公益林优化落界成果；</w:t>
      </w:r>
    </w:p>
    <w:p w14:paraId="5ADA36C4">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泰兴市2018年度耕地质量等别更新评价成果；</w:t>
      </w:r>
    </w:p>
    <w:p w14:paraId="312C736A">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2023年度江苏省省级开发区土地集约利用评价结果；</w:t>
      </w:r>
    </w:p>
    <w:p w14:paraId="361266DC">
      <w:pPr>
        <w:keepNext w:val="0"/>
        <w:keepLines w:val="0"/>
        <w:pageBreakBefore w:val="0"/>
        <w:widowControl w:val="0"/>
        <w:numPr>
          <w:ilvl w:val="0"/>
          <w:numId w:val="9"/>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其他相关调查成果。</w:t>
      </w:r>
      <w:bookmarkEnd w:id="12"/>
    </w:p>
    <w:p w14:paraId="359429E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rPr>
        <w:t>二、</w:t>
      </w:r>
      <w:r>
        <w:rPr>
          <w:rFonts w:hint="eastAsia" w:ascii="Times New Roman" w:hAnsi="Times New Roman" w:eastAsia="方正黑体_GBK" w:cs="Times New Roman"/>
          <w:sz w:val="32"/>
          <w:szCs w:val="32"/>
          <w:lang w:val="en-US" w:eastAsia="zh-CN"/>
        </w:rPr>
        <w:t>总体情况</w:t>
      </w:r>
    </w:p>
    <w:p w14:paraId="7939E9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泰兴市2025-02号土地征收成片开发方案共4个片区，其中2个片区位于黄桥镇，2个片区分别位于济川街道和滨江镇，片区名称</w:t>
      </w:r>
      <w:r>
        <w:rPr>
          <w:rFonts w:hint="eastAsia" w:ascii="Times New Roman" w:hAnsi="Times New Roman" w:eastAsia="方正仿宋_GBK" w:cs="Times New Roman"/>
          <w:sz w:val="32"/>
          <w:szCs w:val="32"/>
          <w:highlight w:val="none"/>
          <w:lang w:val="en-US" w:eastAsia="zh-CN"/>
        </w:rPr>
        <w:t>分别为黄桥镇季黄河西片区</w:t>
      </w:r>
      <w:r>
        <w:rPr>
          <w:rFonts w:hint="eastAsia" w:ascii="Times New Roman" w:hAnsi="Times New Roman" w:eastAsia="方正仿宋_GBK" w:cs="Times New Roman"/>
          <w:sz w:val="32"/>
          <w:szCs w:val="32"/>
          <w:lang w:val="en-US" w:eastAsia="zh-CN"/>
        </w:rPr>
        <w:t>、黄桥镇友谊路东片区、城区江平路西片区和</w:t>
      </w:r>
      <w:r>
        <w:rPr>
          <w:rFonts w:hint="eastAsia" w:ascii="Times New Roman" w:hAnsi="Times New Roman" w:eastAsia="方正仿宋_GBK" w:cs="Times New Roman"/>
          <w:sz w:val="32"/>
          <w:szCs w:val="32"/>
          <w:highlight w:val="none"/>
          <w:lang w:val="en-US" w:eastAsia="zh-CN"/>
        </w:rPr>
        <w:t>开发区通江路南片区</w:t>
      </w:r>
      <w:r>
        <w:rPr>
          <w:rFonts w:hint="eastAsia" w:ascii="Times New Roman" w:hAnsi="Times New Roman" w:eastAsia="方正仿宋_GBK" w:cs="Times New Roman"/>
          <w:sz w:val="32"/>
          <w:szCs w:val="32"/>
          <w:lang w:val="en-US" w:eastAsia="zh-CN"/>
        </w:rPr>
        <w:t>。片区总面积84.3771公顷（成片开发范围以最终批复为准），国有土地面积22.0573公顷，集体土地面积62.3198公顷，集体土地中拟征收集体土地面积62.2604公顷，占集体土地总面积的99.90%，其他集体土地面积0.0594公顷，占集体土地总面积的0.10%。外部水、电、气、热、通讯和消防基本具备地块开发条件。</w:t>
      </w:r>
    </w:p>
    <w:p w14:paraId="06F81DEB">
      <w:pPr>
        <w:pStyle w:val="26"/>
        <w:spacing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615305" cy="3970020"/>
            <wp:effectExtent l="0" t="0" r="10795" b="5080"/>
            <wp:docPr id="1" name="图片 1" descr="片区范围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片区范围概况"/>
                    <pic:cNvPicPr>
                      <a:picLocks noChangeAspect="1"/>
                    </pic:cNvPicPr>
                  </pic:nvPicPr>
                  <pic:blipFill>
                    <a:blip r:embed="rId5"/>
                    <a:stretch>
                      <a:fillRect/>
                    </a:stretch>
                  </pic:blipFill>
                  <pic:spPr>
                    <a:xfrm>
                      <a:off x="0" y="0"/>
                      <a:ext cx="5615305" cy="3970020"/>
                    </a:xfrm>
                    <a:prstGeom prst="rect">
                      <a:avLst/>
                    </a:prstGeom>
                  </pic:spPr>
                </pic:pic>
              </a:graphicData>
            </a:graphic>
          </wp:inline>
        </w:drawing>
      </w:r>
    </w:p>
    <w:p w14:paraId="1142FBAA">
      <w:pPr>
        <w:pStyle w:val="25"/>
        <w:ind w:left="0" w:leftChars="0" w:firstLine="0" w:firstLineChars="0"/>
        <w:rPr>
          <w:rFonts w:hint="default"/>
          <w:lang w:val="en-US" w:eastAsia="zh-CN"/>
        </w:rPr>
      </w:pPr>
      <w:r>
        <w:rPr>
          <w:rFonts w:hint="default"/>
          <w:lang w:val="en-US" w:eastAsia="zh-CN"/>
        </w:rPr>
        <w:drawing>
          <wp:inline distT="0" distB="0" distL="114300" distR="114300">
            <wp:extent cx="5615305" cy="3970020"/>
            <wp:effectExtent l="0" t="0" r="10795" b="5080"/>
            <wp:docPr id="2" name="图片 2" descr="片区范围权属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片区范围权属概况"/>
                    <pic:cNvPicPr>
                      <a:picLocks noChangeAspect="1"/>
                    </pic:cNvPicPr>
                  </pic:nvPicPr>
                  <pic:blipFill>
                    <a:blip r:embed="rId6"/>
                    <a:stretch>
                      <a:fillRect/>
                    </a:stretch>
                  </pic:blipFill>
                  <pic:spPr>
                    <a:xfrm>
                      <a:off x="0" y="0"/>
                      <a:ext cx="5615305" cy="3970020"/>
                    </a:xfrm>
                    <a:prstGeom prst="rect">
                      <a:avLst/>
                    </a:prstGeom>
                  </pic:spPr>
                </pic:pic>
              </a:graphicData>
            </a:graphic>
          </wp:inline>
        </w:drawing>
      </w:r>
    </w:p>
    <w:p w14:paraId="41A2FC48">
      <w:pPr>
        <w:pStyle w:val="13"/>
        <w:ind w:left="0" w:leftChars="0" w:firstLine="0" w:firstLineChars="0"/>
        <w:rPr>
          <w:rFonts w:hint="default"/>
          <w:lang w:val="en-US" w:eastAsia="zh-CN"/>
        </w:rPr>
      </w:pPr>
      <w:r>
        <w:rPr>
          <w:rFonts w:hint="default"/>
          <w:lang w:val="en-US" w:eastAsia="zh-CN"/>
        </w:rPr>
        <w:drawing>
          <wp:inline distT="0" distB="0" distL="114300" distR="114300">
            <wp:extent cx="5615305" cy="3970020"/>
            <wp:effectExtent l="0" t="0" r="10795" b="5080"/>
            <wp:docPr id="4" name="图片 4" descr="片区拟征收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片区拟征收概况"/>
                    <pic:cNvPicPr>
                      <a:picLocks noChangeAspect="1"/>
                    </pic:cNvPicPr>
                  </pic:nvPicPr>
                  <pic:blipFill>
                    <a:blip r:embed="rId7"/>
                    <a:stretch>
                      <a:fillRect/>
                    </a:stretch>
                  </pic:blipFill>
                  <pic:spPr>
                    <a:xfrm>
                      <a:off x="0" y="0"/>
                      <a:ext cx="5615305" cy="3970020"/>
                    </a:xfrm>
                    <a:prstGeom prst="rect">
                      <a:avLst/>
                    </a:prstGeom>
                  </pic:spPr>
                </pic:pic>
              </a:graphicData>
            </a:graphic>
          </wp:inline>
        </w:drawing>
      </w:r>
    </w:p>
    <w:p w14:paraId="26CAFD1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w:t>
      </w:r>
      <w:r>
        <w:rPr>
          <w:rFonts w:hint="eastAsia" w:ascii="Times New Roman" w:hAnsi="Times New Roman" w:eastAsia="方正黑体_GBK" w:cs="Times New Roman"/>
          <w:sz w:val="32"/>
          <w:szCs w:val="32"/>
          <w:lang w:val="en-US" w:eastAsia="zh-CN"/>
        </w:rPr>
        <w:t>成片开发的必要性</w:t>
      </w:r>
    </w:p>
    <w:p w14:paraId="7414B3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十四五”期间，泰兴市重点构建“一主两副六极多节点“的城乡空间格局、“一带多片、七横五纵“的生态空间格局、“一核两带三区多点”的农业空间格局，泰兴市主动参与长三角城市群建设，加快“接轨沪宁、融入苏南”步伐，重点推动常泰跨江融合、联动发展，联建“常泰跨江融合发展先导区”紧密对接泰州总体发展格局，以更高水平融入区域发展。在此背景下，为加快推进土地征收成片开发方案实施，按照征收一片、建设一片、建成一片的总体要求，泰兴市以系统性、完整性、连片区为原则，落实“创新智造高地、生态银杏之乡”发展目标，高效配置土地资源、提升城市功能、强化生态服务功能，以此推进经济社会的可持续发展。</w:t>
      </w:r>
    </w:p>
    <w:p w14:paraId="2AEBBDB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本方案可充分发挥规划在城市开发过程中的指引作用，能够使成片开发更好的服务于泰兴城市发展，同时，本方案能够规范征地行为，维护和保障被征地农民的基本利益，保障被征地农民原有生活水平不降低，长远生计有保障，有效保障重点区域与重大项目发展。</w:t>
      </w:r>
    </w:p>
    <w:p w14:paraId="204E2E3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四</w:t>
      </w:r>
      <w:r>
        <w:rPr>
          <w:rFonts w:hint="default" w:ascii="Times New Roman" w:hAnsi="Times New Roman" w:eastAsia="方正黑体_GBK" w:cs="Times New Roman"/>
          <w:sz w:val="32"/>
          <w:szCs w:val="32"/>
        </w:rPr>
        <w:t>、</w:t>
      </w:r>
      <w:r>
        <w:rPr>
          <w:rFonts w:hint="eastAsia" w:ascii="Times New Roman" w:hAnsi="Times New Roman" w:eastAsia="方正黑体_GBK" w:cs="Times New Roman"/>
          <w:sz w:val="32"/>
          <w:szCs w:val="32"/>
          <w:lang w:val="en-US" w:eastAsia="zh-CN"/>
        </w:rPr>
        <w:t>公益性用地情况</w:t>
      </w:r>
    </w:p>
    <w:p w14:paraId="1BF7775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lang w:val="en-US" w:eastAsia="zh-CN"/>
        </w:rPr>
      </w:pPr>
      <w:r>
        <w:rPr>
          <w:rFonts w:hint="default" w:ascii="Times New Roman" w:hAnsi="Times New Roman" w:eastAsia="方正仿宋_GBK" w:cs="Times New Roman"/>
          <w:sz w:val="32"/>
          <w:szCs w:val="32"/>
          <w:lang w:val="en-US" w:eastAsia="zh-CN"/>
        </w:rPr>
        <w:t>泰兴市202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-0</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号土地征收成片开发方案片区总面积</w:t>
      </w:r>
      <w:r>
        <w:rPr>
          <w:rFonts w:hint="eastAsia" w:ascii="Times New Roman" w:hAnsi="Times New Roman" w:eastAsia="方正仿宋_GBK" w:cs="Times New Roman"/>
          <w:sz w:val="32"/>
          <w:szCs w:val="32"/>
          <w:lang w:val="en-US" w:eastAsia="zh-CN"/>
        </w:rPr>
        <w:t>84.3771</w:t>
      </w:r>
      <w:r>
        <w:rPr>
          <w:rFonts w:hint="default" w:ascii="Times New Roman" w:hAnsi="Times New Roman" w:eastAsia="方正仿宋_GBK" w:cs="Times New Roman"/>
          <w:sz w:val="32"/>
          <w:szCs w:val="32"/>
          <w:lang w:val="en-US" w:eastAsia="zh-CN"/>
        </w:rPr>
        <w:t>公顷，</w:t>
      </w:r>
      <w:r>
        <w:rPr>
          <w:rFonts w:hint="default" w:ascii="Times New Roman" w:hAnsi="Times New Roman" w:eastAsia="方正仿宋_GBK" w:cs="Times New Roman"/>
          <w:sz w:val="32"/>
          <w:szCs w:val="32"/>
          <w:highlight w:val="none"/>
          <w:lang w:val="en-US" w:eastAsia="zh-CN"/>
        </w:rPr>
        <w:t>根据泰兴市最新批复的</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泰兴市</w:t>
      </w:r>
      <w:r>
        <w:rPr>
          <w:rFonts w:hint="eastAsia" w:ascii="Times New Roman" w:hAnsi="Times New Roman" w:eastAsia="方正仿宋_GBK" w:cs="Times New Roman"/>
          <w:sz w:val="32"/>
          <w:szCs w:val="32"/>
          <w:highlight w:val="none"/>
          <w:lang w:val="en-US" w:eastAsia="zh-CN"/>
        </w:rPr>
        <w:t>黄桥镇镇区单元</w:t>
      </w:r>
      <w:r>
        <w:rPr>
          <w:rFonts w:hint="default" w:ascii="Times New Roman" w:hAnsi="Times New Roman" w:eastAsia="方正仿宋_GBK" w:cs="Times New Roman"/>
          <w:sz w:val="32"/>
          <w:szCs w:val="32"/>
          <w:highlight w:val="none"/>
          <w:lang w:val="en-US" w:eastAsia="zh-CN"/>
        </w:rPr>
        <w:t>详细规划</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《市政府关于中心城区0001、0002、0003、0006、0007单元详细规划》《</w:t>
      </w:r>
      <w:r>
        <w:rPr>
          <w:rFonts w:hint="eastAsia" w:ascii="Times New Roman" w:hAnsi="Times New Roman" w:eastAsia="方正仿宋_GBK" w:cs="Times New Roman"/>
          <w:sz w:val="32"/>
          <w:szCs w:val="32"/>
          <w:highlight w:val="none"/>
          <w:lang w:val="en-US" w:eastAsia="zh-CN"/>
        </w:rPr>
        <w:t>江苏省泰兴经济开发区控制性详细规划局部调整方案</w:t>
      </w:r>
      <w:r>
        <w:rPr>
          <w:rFonts w:hint="default" w:ascii="Times New Roman" w:hAnsi="Times New Roman" w:eastAsia="方正仿宋_GBK" w:cs="Times New Roman"/>
          <w:sz w:val="32"/>
          <w:szCs w:val="32"/>
          <w:highlight w:val="none"/>
          <w:lang w:val="en-US" w:eastAsia="zh-CN"/>
        </w:rPr>
        <w:t>》等控制性详细规划成果</w:t>
      </w:r>
      <w:r>
        <w:rPr>
          <w:rFonts w:hint="default" w:ascii="Times New Roman" w:hAnsi="Times New Roman" w:eastAsia="方正仿宋_GBK" w:cs="Times New Roman"/>
          <w:sz w:val="32"/>
          <w:szCs w:val="32"/>
          <w:lang w:val="en-US" w:eastAsia="zh-CN"/>
        </w:rPr>
        <w:t>，测得公益性用地面积共</w:t>
      </w:r>
      <w:r>
        <w:rPr>
          <w:rFonts w:hint="eastAsia" w:ascii="Times New Roman" w:hAnsi="Times New Roman" w:eastAsia="方正仿宋_GBK" w:cs="Times New Roman"/>
          <w:sz w:val="32"/>
          <w:szCs w:val="32"/>
          <w:lang w:val="en-US" w:eastAsia="zh-CN"/>
        </w:rPr>
        <w:t>18.2108</w:t>
      </w:r>
      <w:r>
        <w:rPr>
          <w:rFonts w:hint="default" w:ascii="Times New Roman" w:hAnsi="Times New Roman" w:eastAsia="方正仿宋_GBK" w:cs="Times New Roman"/>
          <w:sz w:val="32"/>
          <w:szCs w:val="32"/>
          <w:lang w:val="en-US" w:eastAsia="zh-CN"/>
        </w:rPr>
        <w:t>公顷。其中:</w:t>
      </w:r>
      <w:r>
        <w:rPr>
          <w:rFonts w:hint="eastAsia" w:ascii="Times New Roman" w:hAnsi="Times New Roman" w:eastAsia="方正仿宋_GBK" w:cs="Times New Roman"/>
          <w:sz w:val="32"/>
          <w:szCs w:val="32"/>
          <w:lang w:val="en-US" w:eastAsia="zh-CN"/>
        </w:rPr>
        <w:t>黄桥镇季黄河西片区</w:t>
      </w:r>
      <w:r>
        <w:rPr>
          <w:rFonts w:hint="default" w:ascii="Times New Roman" w:hAnsi="Times New Roman" w:eastAsia="方正仿宋_GBK" w:cs="Times New Roman"/>
          <w:sz w:val="32"/>
          <w:szCs w:val="32"/>
          <w:lang w:val="en-US" w:eastAsia="zh-CN"/>
        </w:rPr>
        <w:t>总面积36.5195公顷，公益性用地面积</w:t>
      </w:r>
      <w:r>
        <w:rPr>
          <w:rFonts w:hint="eastAsia" w:ascii="Times New Roman" w:hAnsi="Times New Roman" w:eastAsia="方正仿宋_GBK" w:cs="Times New Roman"/>
          <w:sz w:val="32"/>
          <w:szCs w:val="32"/>
          <w:lang w:val="en-US" w:eastAsia="zh-CN"/>
        </w:rPr>
        <w:t>7.4394</w:t>
      </w:r>
      <w:r>
        <w:rPr>
          <w:rFonts w:hint="default" w:ascii="Times New Roman" w:hAnsi="Times New Roman" w:eastAsia="方正仿宋_GBK" w:cs="Times New Roman"/>
          <w:sz w:val="32"/>
          <w:szCs w:val="32"/>
          <w:lang w:val="en-US" w:eastAsia="zh-CN"/>
        </w:rPr>
        <w:t>公顷，公益性用地比例</w:t>
      </w:r>
      <w:r>
        <w:rPr>
          <w:rFonts w:hint="eastAsia" w:ascii="Times New Roman" w:hAnsi="Times New Roman" w:eastAsia="方正仿宋_GBK" w:cs="Times New Roman"/>
          <w:sz w:val="32"/>
          <w:szCs w:val="32"/>
          <w:lang w:val="en-US" w:eastAsia="zh-CN"/>
        </w:rPr>
        <w:t>20.37</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，工矿用地比例79.63%，</w:t>
      </w:r>
      <w:r>
        <w:rPr>
          <w:rFonts w:hint="default" w:ascii="Times New Roman" w:hAnsi="Times New Roman" w:eastAsia="方正仿宋_GBK" w:cs="Times New Roman"/>
          <w:sz w:val="32"/>
          <w:szCs w:val="32"/>
          <w:lang w:val="en-US" w:eastAsia="zh-CN"/>
        </w:rPr>
        <w:t>为工业主导型片区</w:t>
      </w:r>
      <w:r>
        <w:rPr>
          <w:rFonts w:hint="eastAsia" w:ascii="Times New Roman" w:hAnsi="Times New Roman" w:eastAsia="方正仿宋_GBK" w:cs="Times New Roman"/>
          <w:sz w:val="32"/>
          <w:szCs w:val="32"/>
          <w:lang w:val="en-US" w:eastAsia="zh-CN"/>
        </w:rPr>
        <w:t>；黄桥镇友谊路东片区</w:t>
      </w:r>
      <w:r>
        <w:rPr>
          <w:rFonts w:hint="default" w:ascii="Times New Roman" w:hAnsi="Times New Roman" w:eastAsia="方正仿宋_GBK" w:cs="Times New Roman"/>
          <w:sz w:val="32"/>
          <w:szCs w:val="32"/>
          <w:lang w:val="en-US" w:eastAsia="zh-CN"/>
        </w:rPr>
        <w:t>总面积5.5991公顷，公益性用地面积</w:t>
      </w:r>
      <w:r>
        <w:rPr>
          <w:rFonts w:hint="eastAsia" w:ascii="Times New Roman" w:hAnsi="Times New Roman" w:eastAsia="方正仿宋_GBK" w:cs="Times New Roman"/>
          <w:sz w:val="32"/>
          <w:szCs w:val="32"/>
          <w:lang w:val="en-US" w:eastAsia="zh-CN"/>
        </w:rPr>
        <w:t>1.1991</w:t>
      </w:r>
      <w:r>
        <w:rPr>
          <w:rFonts w:hint="default" w:ascii="Times New Roman" w:hAnsi="Times New Roman" w:eastAsia="方正仿宋_GBK" w:cs="Times New Roman"/>
          <w:sz w:val="32"/>
          <w:szCs w:val="32"/>
          <w:lang w:val="en-US" w:eastAsia="zh-CN"/>
        </w:rPr>
        <w:t>公顷，公益性用地比例</w:t>
      </w:r>
      <w:r>
        <w:rPr>
          <w:rFonts w:hint="eastAsia" w:ascii="Times New Roman" w:hAnsi="Times New Roman" w:eastAsia="方正仿宋_GBK" w:cs="Times New Roman"/>
          <w:sz w:val="32"/>
          <w:szCs w:val="32"/>
          <w:lang w:val="en-US" w:eastAsia="zh-CN"/>
        </w:rPr>
        <w:t>21.42</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，工矿用地比例78.58%，</w:t>
      </w:r>
      <w:r>
        <w:rPr>
          <w:rFonts w:hint="default" w:ascii="Times New Roman" w:hAnsi="Times New Roman" w:eastAsia="方正仿宋_GBK" w:cs="Times New Roman"/>
          <w:sz w:val="32"/>
          <w:szCs w:val="32"/>
          <w:lang w:val="en-US" w:eastAsia="zh-CN"/>
        </w:rPr>
        <w:t>为工业主导型片区</w:t>
      </w:r>
      <w:r>
        <w:rPr>
          <w:rFonts w:hint="eastAsia" w:ascii="Times New Roman" w:hAnsi="Times New Roman" w:eastAsia="方正仿宋_GBK" w:cs="Times New Roman"/>
          <w:sz w:val="32"/>
          <w:szCs w:val="32"/>
          <w:lang w:val="en-US" w:eastAsia="zh-CN"/>
        </w:rPr>
        <w:t>；城区江平路西片区</w:t>
      </w:r>
      <w:r>
        <w:rPr>
          <w:rFonts w:hint="default" w:ascii="Times New Roman" w:hAnsi="Times New Roman" w:eastAsia="方正仿宋_GBK" w:cs="Times New Roman"/>
          <w:sz w:val="32"/>
          <w:szCs w:val="32"/>
          <w:lang w:val="en-US" w:eastAsia="zh-CN"/>
        </w:rPr>
        <w:t>总面积35.1356公顷，公益性用地面积</w:t>
      </w:r>
      <w:r>
        <w:rPr>
          <w:rFonts w:hint="eastAsia" w:ascii="Times New Roman" w:hAnsi="Times New Roman" w:eastAsia="方正仿宋_GBK" w:cs="Times New Roman"/>
          <w:sz w:val="32"/>
          <w:szCs w:val="32"/>
          <w:lang w:val="en-US" w:eastAsia="zh-CN"/>
        </w:rPr>
        <w:t>7.5920</w:t>
      </w:r>
      <w:r>
        <w:rPr>
          <w:rFonts w:hint="default" w:ascii="Times New Roman" w:hAnsi="Times New Roman" w:eastAsia="方正仿宋_GBK" w:cs="Times New Roman"/>
          <w:sz w:val="32"/>
          <w:szCs w:val="32"/>
          <w:lang w:val="en-US" w:eastAsia="zh-CN"/>
        </w:rPr>
        <w:t>公顷，公益性用地比例</w:t>
      </w:r>
      <w:r>
        <w:rPr>
          <w:rFonts w:hint="eastAsia" w:ascii="Times New Roman" w:hAnsi="Times New Roman" w:eastAsia="方正仿宋_GBK" w:cs="Times New Roman"/>
          <w:sz w:val="32"/>
          <w:szCs w:val="32"/>
          <w:lang w:val="en-US" w:eastAsia="zh-CN"/>
        </w:rPr>
        <w:t>21.61</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，工矿用地比例77.97%，</w:t>
      </w:r>
      <w:r>
        <w:rPr>
          <w:rFonts w:hint="default" w:ascii="Times New Roman" w:hAnsi="Times New Roman" w:eastAsia="方正仿宋_GBK" w:cs="Times New Roman"/>
          <w:sz w:val="32"/>
          <w:szCs w:val="32"/>
          <w:lang w:val="en-US" w:eastAsia="zh-CN"/>
        </w:rPr>
        <w:t>为工业主导型片区</w:t>
      </w:r>
      <w:r>
        <w:rPr>
          <w:rFonts w:hint="eastAsia" w:ascii="Times New Roman" w:hAnsi="Times New Roman" w:eastAsia="方正仿宋_GBK" w:cs="Times New Roman"/>
          <w:sz w:val="32"/>
          <w:szCs w:val="32"/>
          <w:lang w:val="en-US" w:eastAsia="zh-CN"/>
        </w:rPr>
        <w:t>；开发区</w:t>
      </w:r>
      <w:r>
        <w:rPr>
          <w:rFonts w:hint="eastAsia" w:ascii="Times New Roman" w:hAnsi="Times New Roman" w:eastAsia="方正仿宋_GBK" w:cs="Times New Roman"/>
          <w:sz w:val="32"/>
          <w:szCs w:val="32"/>
          <w:highlight w:val="none"/>
          <w:lang w:val="en-US" w:eastAsia="zh-CN"/>
        </w:rPr>
        <w:t>通江路南</w:t>
      </w:r>
      <w:r>
        <w:rPr>
          <w:rFonts w:hint="default" w:ascii="Times New Roman" w:hAnsi="Times New Roman" w:eastAsia="方正仿宋_GBK" w:cs="Times New Roman"/>
          <w:sz w:val="32"/>
          <w:szCs w:val="32"/>
          <w:lang w:val="en-US" w:eastAsia="zh-CN"/>
        </w:rPr>
        <w:t>片区总面积</w:t>
      </w:r>
      <w:r>
        <w:rPr>
          <w:rFonts w:hint="eastAsia" w:ascii="Times New Roman" w:hAnsi="Times New Roman" w:eastAsia="方正仿宋_GBK" w:cs="Times New Roman"/>
          <w:sz w:val="32"/>
          <w:szCs w:val="32"/>
          <w:lang w:val="en-US" w:eastAsia="zh-CN"/>
        </w:rPr>
        <w:t>7.1229</w:t>
      </w:r>
      <w:r>
        <w:rPr>
          <w:rFonts w:hint="default" w:ascii="Times New Roman" w:hAnsi="Times New Roman" w:eastAsia="方正仿宋_GBK" w:cs="Times New Roman"/>
          <w:sz w:val="32"/>
          <w:szCs w:val="32"/>
          <w:lang w:val="en-US" w:eastAsia="zh-CN"/>
        </w:rPr>
        <w:t>公顷，公益性用地面积1.9803公顷，公益性用地比例</w:t>
      </w:r>
      <w:r>
        <w:rPr>
          <w:rFonts w:hint="eastAsia" w:ascii="Times New Roman" w:hAnsi="Times New Roman" w:eastAsia="方正仿宋_GBK" w:cs="Times New Roman"/>
          <w:sz w:val="32"/>
          <w:szCs w:val="32"/>
          <w:lang w:val="en-US" w:eastAsia="zh-CN"/>
        </w:rPr>
        <w:t>27.80</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工矿用地比例</w:t>
      </w:r>
      <w:r>
        <w:rPr>
          <w:rFonts w:hint="eastAsia" w:ascii="Times New Roman" w:hAnsi="Times New Roman" w:eastAsia="方正仿宋_GBK" w:cs="Times New Roman"/>
          <w:sz w:val="32"/>
          <w:szCs w:val="32"/>
          <w:lang w:val="en-US" w:eastAsia="zh-CN"/>
        </w:rPr>
        <w:t>62.71</w:t>
      </w:r>
      <w:r>
        <w:rPr>
          <w:rFonts w:hint="default"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lang w:val="en-US" w:eastAsia="zh-CN"/>
        </w:rPr>
        <w:t>为工业主导型片区</w:t>
      </w:r>
      <w:r>
        <w:rPr>
          <w:rFonts w:hint="eastAsia" w:ascii="Times New Roman" w:hAnsi="Times New Roman" w:eastAsia="方正仿宋_GBK" w:cs="Times New Roman"/>
          <w:sz w:val="32"/>
          <w:szCs w:val="32"/>
          <w:lang w:val="en-US" w:eastAsia="zh-CN"/>
        </w:rPr>
        <w:t>。</w:t>
      </w:r>
    </w:p>
    <w:p w14:paraId="70449E9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五</w:t>
      </w:r>
      <w:r>
        <w:rPr>
          <w:rFonts w:hint="default" w:ascii="Times New Roman" w:hAnsi="Times New Roman" w:eastAsia="方正黑体_GBK" w:cs="Times New Roman"/>
          <w:sz w:val="32"/>
          <w:szCs w:val="32"/>
        </w:rPr>
        <w:t>、</w:t>
      </w:r>
      <w:r>
        <w:rPr>
          <w:rFonts w:hint="eastAsia" w:ascii="Times New Roman" w:hAnsi="Times New Roman" w:eastAsia="方正黑体_GBK" w:cs="Times New Roman"/>
          <w:sz w:val="32"/>
          <w:szCs w:val="32"/>
          <w:lang w:val="en-US" w:eastAsia="zh-CN"/>
        </w:rPr>
        <w:t>规划符合情况</w:t>
      </w:r>
    </w:p>
    <w:p w14:paraId="2F80C6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1.本方案符合泰兴市国民经济和社会发展第十四个五年规划和二〇三五年远景目标纲要中的发展定位、要求，并已纳入泰兴市</w:t>
      </w:r>
      <w:r>
        <w:rPr>
          <w:rFonts w:hint="eastAsia" w:ascii="Times New Roman" w:hAnsi="Times New Roman" w:eastAsia="方正仿宋_GBK" w:cs="Times New Roman"/>
          <w:sz w:val="32"/>
          <w:szCs w:val="32"/>
          <w:lang w:val="en-US" w:eastAsia="zh-CN"/>
        </w:rPr>
        <w:t>2025</w:t>
      </w:r>
      <w:r>
        <w:rPr>
          <w:rFonts w:hint="default" w:ascii="Times New Roman" w:hAnsi="Times New Roman" w:eastAsia="方正仿宋_GBK" w:cs="Times New Roman"/>
          <w:sz w:val="32"/>
          <w:szCs w:val="32"/>
          <w:lang w:val="en-US" w:eastAsia="zh-CN"/>
        </w:rPr>
        <w:t>年国民经济和社会发展年度计划</w:t>
      </w:r>
      <w:r>
        <w:rPr>
          <w:rFonts w:hint="eastAsia" w:ascii="Times New Roman" w:hAnsi="Times New Roman" w:eastAsia="方正仿宋_GBK" w:cs="Times New Roman"/>
          <w:sz w:val="32"/>
          <w:szCs w:val="32"/>
          <w:lang w:val="en-US" w:eastAsia="zh-CN"/>
        </w:rPr>
        <w:t>；</w:t>
      </w:r>
    </w:p>
    <w:p w14:paraId="060F113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2.土地征收成片开发范围已全部纳入泰兴市国土空间总体规划(2021-2035年)确定的城镇建设用地范围</w:t>
      </w:r>
      <w:r>
        <w:rPr>
          <w:rFonts w:hint="eastAsia" w:ascii="Times New Roman" w:hAnsi="Times New Roman" w:eastAsia="方正仿宋_GBK" w:cs="Times New Roman"/>
          <w:sz w:val="32"/>
          <w:szCs w:val="32"/>
          <w:lang w:eastAsia="zh-CN"/>
        </w:rPr>
        <w:t>；</w:t>
      </w:r>
    </w:p>
    <w:p w14:paraId="7A6EFD5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3.成片开发范围不涉及“三区三线”划定的永久基本农田、生态保护红线，不涉及生态空间管控区</w:t>
      </w:r>
      <w:r>
        <w:rPr>
          <w:rFonts w:hint="eastAsia" w:ascii="Times New Roman" w:hAnsi="Times New Roman" w:eastAsia="方正仿宋_GBK" w:cs="Times New Roman"/>
          <w:sz w:val="32"/>
          <w:szCs w:val="32"/>
          <w:lang w:eastAsia="zh-CN"/>
        </w:rPr>
        <w:t>；</w:t>
      </w:r>
    </w:p>
    <w:p w14:paraId="3BC704B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4.方案符合泰兴市现行城市总体规划及各片区所在控制性详细规划。</w:t>
      </w:r>
    </w:p>
    <w:p w14:paraId="37DE7799">
      <w:pPr>
        <w:spacing w:line="560" w:lineRule="exact"/>
        <w:ind w:firstLine="640" w:firstLineChars="200"/>
        <w:outlineLvl w:val="0"/>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六、效益评价</w:t>
      </w:r>
      <w:bookmarkStart w:id="13" w:name="_GoBack"/>
      <w:bookmarkEnd w:id="13"/>
    </w:p>
    <w:p w14:paraId="5458D3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1.经济效益</w:t>
      </w:r>
    </w:p>
    <w:p w14:paraId="2CADDC2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通过成片开发方案的实施，可促进工业集聚、生活质量提升,增强城区、乡镇生活配套设施供给水平，促进经济增长，拓展经济发展空间，提升国民经济生产总值。此外，还提供优质产业落地，提升居民生活空间质量，提高区域吸引力，带动区域各类土地资源价值逐步提升。</w:t>
      </w:r>
    </w:p>
    <w:p w14:paraId="21F3E9B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2.社会效益</w:t>
      </w:r>
    </w:p>
    <w:p w14:paraId="0C5C903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成片开发方案项目的实施对城区和乡镇社会、经济环境等各方面都产生重大影响，对土地利用、分配公平、环境改善、增加就业等方面有促进作用。通过成片开发方案的实施能够真正实现统一规划、统一配套、统一开发、统一建设、统一管理，提高城市土地资源配置效率。</w:t>
      </w:r>
    </w:p>
    <w:p w14:paraId="6066EDB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3.生态效益</w:t>
      </w:r>
    </w:p>
    <w:p w14:paraId="4F3A56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成片开发范围内，规划绿化用地规模明显增加，将显著提高生态环境质量，有效恢复生态绿化功能，改变城市环境，在减少水体污染、保持水土、涵养水源、降低噪音等方面发挥显著作用，使得项目所在区域生态环境实现良性循环，实现人与自然、经济发展与资源环境协调的可持续发展。</w:t>
      </w:r>
    </w:p>
    <w:p w14:paraId="18BA7CE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七、拟建设项目、开发时序和实施计划</w:t>
      </w:r>
    </w:p>
    <w:p w14:paraId="6304654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成片开发范围内拟建设项目以工业项目为主，配套建设市政基础设施、公园绿地等项目，计划在2026年1月至2031年1月分批次启动土地征收工作。</w:t>
      </w:r>
    </w:p>
    <w:p w14:paraId="0FF7EE9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0"/>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八、选址适宜性</w:t>
      </w:r>
    </w:p>
    <w:p w14:paraId="60674FD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方案不涉及各类自然保护地、各级风景名胜区;方案不涉及国有林场、国有林地;方案不涉及历史文化名城名镇名村，不涉及历史文化保护街区，不涉及历史建筑，不涉及传统村落；方案不涉及《江苏省建设用地土壤污染风险管控和修复名录》中的地块，不存在土壤污染;方案不压覆现有矿山和已经探明的矿产资源：方案不涉及湖泊保护名录、骨干河道名录中的河道、湖泊等重点保护水域；方案片区内土地平整，无低丘缓坡等不利建设条件，未见现状地质灾害，未处于地质灾害易发区，成片开发建设条件适宜。</w:t>
      </w:r>
    </w:p>
    <w:p w14:paraId="79D7181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方案不涉及占用高标准农田项目，不涉及占用两区成果。</w:t>
      </w:r>
    </w:p>
    <w:p w14:paraId="464F974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九、土地征收补偿安置措施</w:t>
      </w:r>
    </w:p>
    <w:p w14:paraId="0FBBAB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1.征地补偿标准:参照《市政府关于重新公布泰兴市征地区片综合地价执行标准的通知》(泰政发</w:t>
      </w:r>
      <w:r>
        <w:rPr>
          <w:rFonts w:hint="eastAsia" w:ascii="微软雅黑" w:hAnsi="微软雅黑" w:eastAsia="微软雅黑" w:cs="微软雅黑"/>
          <w:sz w:val="32"/>
          <w:szCs w:val="32"/>
          <w:lang w:val="en-US" w:eastAsia="zh-CN"/>
        </w:rPr>
        <w:t>〔</w:t>
      </w:r>
      <w:r>
        <w:rPr>
          <w:rFonts w:hint="default" w:ascii="Times New Roman" w:hAnsi="Times New Roman" w:eastAsia="方正仿宋_GBK" w:cs="Times New Roman"/>
          <w:sz w:val="32"/>
          <w:szCs w:val="32"/>
          <w:lang w:val="en-US" w:eastAsia="zh-CN"/>
        </w:rPr>
        <w:t>202</w:t>
      </w:r>
      <w:r>
        <w:rPr>
          <w:rFonts w:hint="eastAsia" w:ascii="Times New Roman" w:hAnsi="Times New Roman" w:eastAsia="方正仿宋_GBK" w:cs="Times New Roman"/>
          <w:sz w:val="32"/>
          <w:szCs w:val="32"/>
          <w:lang w:val="en-US" w:eastAsia="zh-CN"/>
        </w:rPr>
        <w:t>4</w:t>
      </w:r>
      <w:r>
        <w:rPr>
          <w:rFonts w:hint="eastAsia" w:ascii="微软雅黑" w:hAnsi="微软雅黑" w:eastAsia="微软雅黑" w:cs="微软雅黑"/>
          <w:sz w:val="32"/>
          <w:szCs w:val="32"/>
          <w:lang w:val="en-US" w:eastAsia="zh-CN"/>
        </w:rPr>
        <w:t>〕</w:t>
      </w:r>
      <w:r>
        <w:rPr>
          <w:rFonts w:hint="default" w:ascii="Times New Roman" w:hAnsi="Times New Roman" w:eastAsia="方正仿宋_GBK" w:cs="Times New Roman"/>
          <w:sz w:val="32"/>
          <w:szCs w:val="32"/>
          <w:lang w:val="en-US" w:eastAsia="zh-CN"/>
        </w:rPr>
        <w:t>1号)的标准执行</w:t>
      </w:r>
      <w:r>
        <w:rPr>
          <w:rFonts w:hint="eastAsia" w:ascii="Times New Roman" w:hAnsi="Times New Roman" w:eastAsia="方正仿宋_GBK" w:cs="Times New Roman"/>
          <w:sz w:val="32"/>
          <w:szCs w:val="32"/>
          <w:lang w:val="en-US" w:eastAsia="zh-CN"/>
        </w:rPr>
        <w:t>；</w:t>
      </w:r>
    </w:p>
    <w:p w14:paraId="1FF20FF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2.征地安置:泰兴市计划通过货币安置、社保安置、搬迁安置等相结合的安置方式，落实被征地农民社会保障，妥善解决被征地农民的生产和生活</w:t>
      </w:r>
      <w:r>
        <w:rPr>
          <w:rFonts w:hint="eastAsia" w:ascii="Times New Roman" w:hAnsi="Times New Roman" w:eastAsia="方正仿宋_GBK" w:cs="Times New Roman"/>
          <w:sz w:val="32"/>
          <w:szCs w:val="32"/>
          <w:lang w:val="en-US" w:eastAsia="zh-CN"/>
        </w:rPr>
        <w:t>；</w:t>
      </w:r>
    </w:p>
    <w:p w14:paraId="46769ED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3.征地程序:泰兴市自然资源和规划局在征地报批前</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督促</w:t>
      </w:r>
      <w:r>
        <w:rPr>
          <w:rFonts w:hint="eastAsia" w:ascii="Times New Roman" w:hAnsi="Times New Roman" w:eastAsia="方正仿宋_GBK" w:cs="Times New Roman"/>
          <w:sz w:val="32"/>
          <w:szCs w:val="32"/>
          <w:lang w:val="en-US" w:eastAsia="zh-CN"/>
        </w:rPr>
        <w:t>黄桥镇、济川街道和滨江镇</w:t>
      </w:r>
      <w:r>
        <w:rPr>
          <w:rFonts w:hint="default" w:ascii="Times New Roman" w:hAnsi="Times New Roman" w:eastAsia="方正仿宋_GBK" w:cs="Times New Roman"/>
          <w:sz w:val="32"/>
          <w:szCs w:val="32"/>
          <w:lang w:val="en-US" w:eastAsia="zh-CN"/>
        </w:rPr>
        <w:t>严格按规定履行征地报批前告知、现状调查及确认、听证、公告等程序。</w:t>
      </w:r>
    </w:p>
    <w:p w14:paraId="29583BD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0"/>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十</w:t>
      </w:r>
      <w:r>
        <w:rPr>
          <w:rFonts w:hint="default" w:ascii="Times New Roman" w:hAnsi="Times New Roman" w:eastAsia="方正黑体_GBK" w:cs="Times New Roman"/>
          <w:sz w:val="32"/>
          <w:szCs w:val="32"/>
          <w:lang w:val="en-US" w:eastAsia="zh-CN"/>
        </w:rPr>
        <w:t>、</w:t>
      </w:r>
      <w:r>
        <w:rPr>
          <w:rFonts w:hint="eastAsia" w:ascii="Times New Roman" w:hAnsi="Times New Roman" w:eastAsia="方正黑体_GBK" w:cs="Times New Roman"/>
          <w:sz w:val="32"/>
          <w:szCs w:val="32"/>
          <w:lang w:val="en-US" w:eastAsia="zh-CN"/>
        </w:rPr>
        <w:t>结论</w:t>
      </w:r>
    </w:p>
    <w:p w14:paraId="7D184E9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泰兴市202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-0</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号土地征收成片开发方案(征求意见稿)》符合自然资源部土地征收成片开发标准，落实了最严格的耕地保护和节约集约利用土地制度，坚持以人民为中心，注重维护被征地农民合法权益，注重生态环境保护，能够促进泰兴市经济社会可持续发展。</w:t>
      </w:r>
    </w:p>
    <w:p w14:paraId="7944EABB">
      <w:pPr>
        <w:pStyle w:val="25"/>
        <w:ind w:left="0" w:leftChars="0" w:firstLine="0" w:firstLineChars="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inline distT="0" distB="0" distL="114300" distR="114300">
            <wp:extent cx="8196580" cy="5795010"/>
            <wp:effectExtent l="9525" t="9525" r="12065" b="10795"/>
            <wp:docPr id="9" name="图片 9" descr="黄桥镇季黄河西片区权属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黄桥镇季黄河西片区权属示意"/>
                    <pic:cNvPicPr>
                      <a:picLocks noChangeAspect="1"/>
                    </pic:cNvPicPr>
                  </pic:nvPicPr>
                  <pic:blipFill>
                    <a:blip r:embed="rId8"/>
                    <a:stretch>
                      <a:fillRect/>
                    </a:stretch>
                  </pic:blipFill>
                  <pic:spPr>
                    <a:xfrm rot="16200000">
                      <a:off x="0" y="0"/>
                      <a:ext cx="8196580" cy="5795010"/>
                    </a:xfrm>
                    <a:prstGeom prst="rect">
                      <a:avLst/>
                    </a:prstGeom>
                    <a:ln>
                      <a:solidFill>
                        <a:schemeClr val="bg1">
                          <a:lumMod val="75000"/>
                        </a:schemeClr>
                      </a:solidFill>
                    </a:ln>
                  </pic:spPr>
                </pic:pic>
              </a:graphicData>
            </a:graphic>
          </wp:inline>
        </w:drawing>
      </w:r>
    </w:p>
    <w:p w14:paraId="46916D6D">
      <w:pPr>
        <w:pStyle w:val="13"/>
        <w:ind w:left="0" w:leftChars="0" w:firstLine="0" w:firstLineChars="0"/>
        <w:rPr>
          <w:rFonts w:hint="default"/>
          <w:lang w:val="en-US" w:eastAsia="zh-CN"/>
        </w:rPr>
      </w:pPr>
      <w:r>
        <w:rPr>
          <w:rFonts w:hint="default"/>
          <w:lang w:val="en-US" w:eastAsia="zh-CN"/>
        </w:rPr>
        <w:drawing>
          <wp:inline distT="0" distB="0" distL="114300" distR="114300">
            <wp:extent cx="8408670" cy="5944870"/>
            <wp:effectExtent l="9525" t="9525" r="14605" b="14605"/>
            <wp:docPr id="11" name="图片 11" descr="黄桥镇友谊路东片区权属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黄桥镇友谊路东片区权属示意"/>
                    <pic:cNvPicPr>
                      <a:picLocks noChangeAspect="1"/>
                    </pic:cNvPicPr>
                  </pic:nvPicPr>
                  <pic:blipFill>
                    <a:blip r:embed="rId9"/>
                    <a:stretch>
                      <a:fillRect/>
                    </a:stretch>
                  </pic:blipFill>
                  <pic:spPr>
                    <a:xfrm rot="16200000">
                      <a:off x="0" y="0"/>
                      <a:ext cx="8408670" cy="5944870"/>
                    </a:xfrm>
                    <a:prstGeom prst="rect">
                      <a:avLst/>
                    </a:prstGeom>
                    <a:ln>
                      <a:solidFill>
                        <a:schemeClr val="bg1">
                          <a:lumMod val="75000"/>
                        </a:schemeClr>
                      </a:solidFill>
                    </a:ln>
                  </pic:spPr>
                </pic:pic>
              </a:graphicData>
            </a:graphic>
          </wp:inline>
        </w:drawing>
      </w:r>
    </w:p>
    <w:p w14:paraId="34D2CEFB">
      <w:pPr>
        <w:pStyle w:val="26"/>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8368665" cy="5916930"/>
            <wp:effectExtent l="10160" t="9525" r="16510" b="16510"/>
            <wp:docPr id="12" name="图片 12" descr="城区江平路西片区权属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城区江平路西片区权属示意"/>
                    <pic:cNvPicPr>
                      <a:picLocks noChangeAspect="1"/>
                    </pic:cNvPicPr>
                  </pic:nvPicPr>
                  <pic:blipFill>
                    <a:blip r:embed="rId10"/>
                    <a:stretch>
                      <a:fillRect/>
                    </a:stretch>
                  </pic:blipFill>
                  <pic:spPr>
                    <a:xfrm rot="16200000">
                      <a:off x="0" y="0"/>
                      <a:ext cx="8368665" cy="5916930"/>
                    </a:xfrm>
                    <a:prstGeom prst="rect">
                      <a:avLst/>
                    </a:prstGeom>
                    <a:ln>
                      <a:solidFill>
                        <a:schemeClr val="bg1">
                          <a:lumMod val="75000"/>
                        </a:schemeClr>
                      </a:solidFill>
                    </a:ln>
                  </pic:spPr>
                </pic:pic>
              </a:graphicData>
            </a:graphic>
          </wp:inline>
        </w:drawing>
      </w:r>
    </w:p>
    <w:p w14:paraId="2897284D">
      <w:pPr>
        <w:pStyle w:val="25"/>
        <w:ind w:left="220" w:leftChars="0" w:hanging="220" w:hangingChars="69"/>
        <w:rPr>
          <w:rFonts w:hint="default"/>
          <w:lang w:val="en-US" w:eastAsia="zh-CN"/>
        </w:rPr>
      </w:pPr>
      <w:r>
        <w:rPr>
          <w:rFonts w:hint="default"/>
          <w:lang w:val="en-US" w:eastAsia="zh-CN"/>
        </w:rPr>
        <w:drawing>
          <wp:inline distT="0" distB="0" distL="114300" distR="114300">
            <wp:extent cx="8163560" cy="5771515"/>
            <wp:effectExtent l="9525" t="9525" r="10160" b="18415"/>
            <wp:docPr id="13" name="图片 13" descr="开发区通江路南片区权属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开发区通江路南片区权属示意"/>
                    <pic:cNvPicPr>
                      <a:picLocks noChangeAspect="1"/>
                    </pic:cNvPicPr>
                  </pic:nvPicPr>
                  <pic:blipFill>
                    <a:blip r:embed="rId11"/>
                    <a:stretch>
                      <a:fillRect/>
                    </a:stretch>
                  </pic:blipFill>
                  <pic:spPr>
                    <a:xfrm rot="16200000">
                      <a:off x="0" y="0"/>
                      <a:ext cx="8163560" cy="5771515"/>
                    </a:xfrm>
                    <a:prstGeom prst="rect">
                      <a:avLst/>
                    </a:prstGeom>
                    <a:ln>
                      <a:solidFill>
                        <a:schemeClr val="bg1">
                          <a:lumMod val="75000"/>
                        </a:schemeClr>
                      </a:solidFill>
                    </a:ln>
                  </pic:spPr>
                </pic:pic>
              </a:graphicData>
            </a:graphic>
          </wp:inline>
        </w:drawing>
      </w:r>
    </w:p>
    <w:sectPr>
      <w:footerReference r:id="rId3" w:type="default"/>
      <w:pgSz w:w="11906" w:h="16838"/>
      <w:pgMar w:top="1701" w:right="1531" w:bottom="1701" w:left="1531"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8303E93A-A363-4363-870D-3AC0E1AC4087}"/>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方正黑体_GBK">
    <w:panose1 w:val="03000509000000000000"/>
    <w:charset w:val="86"/>
    <w:family w:val="auto"/>
    <w:pitch w:val="default"/>
    <w:sig w:usb0="00000001" w:usb1="080E0000" w:usb2="00000000" w:usb3="00000000" w:csb0="00040000" w:csb1="00000000"/>
    <w:embedRegular r:id="rId2" w:fontKey="{0D5D30DA-B674-490A-8A7D-389AD2C2392F}"/>
  </w:font>
  <w:font w:name="方正小标宋_GBK">
    <w:panose1 w:val="03000509000000000000"/>
    <w:charset w:val="86"/>
    <w:family w:val="script"/>
    <w:pitch w:val="default"/>
    <w:sig w:usb0="00000001" w:usb1="080E0000" w:usb2="00000000" w:usb3="00000000" w:csb0="00040000" w:csb1="00000000"/>
    <w:embedRegular r:id="rId3" w:fontKey="{2F9AB636-5600-4C34-B114-D74C2DFE0013}"/>
  </w:font>
  <w:font w:name="方正仿宋_GBK">
    <w:panose1 w:val="03000509000000000000"/>
    <w:charset w:val="86"/>
    <w:family w:val="script"/>
    <w:pitch w:val="default"/>
    <w:sig w:usb0="00000001" w:usb1="080E0000" w:usb2="00000000" w:usb3="00000000" w:csb0="00040000" w:csb1="00000000"/>
    <w:embedRegular r:id="rId4" w:fontKey="{B64BBA94-9AB9-49D2-85C0-444E57DB0E13}"/>
  </w:font>
  <w:font w:name="楷体_GB2312">
    <w:panose1 w:val="02010609030101010101"/>
    <w:charset w:val="86"/>
    <w:family w:val="modern"/>
    <w:pitch w:val="default"/>
    <w:sig w:usb0="00000001" w:usb1="080E0000" w:usb2="00000000" w:usb3="00000000" w:csb0="00040000" w:csb1="00000000"/>
    <w:embedRegular r:id="rId5" w:fontKey="{F73C6876-D9E7-4569-AB05-FC159E4795F1}"/>
  </w:font>
  <w:font w:name="方正楷体_GBK">
    <w:panose1 w:val="03000509000000000000"/>
    <w:charset w:val="86"/>
    <w:family w:val="script"/>
    <w:pitch w:val="default"/>
    <w:sig w:usb0="00000001" w:usb1="080E0000" w:usb2="00000000" w:usb3="00000000" w:csb0="00040000" w:csb1="00000000"/>
    <w:embedRegular r:id="rId6" w:fontKey="{7FC21307-F174-437B-ACDC-ACC999A6D936}"/>
  </w:font>
  <w:font w:name="微软雅黑">
    <w:panose1 w:val="020B0503020204020204"/>
    <w:charset w:val="86"/>
    <w:family w:val="auto"/>
    <w:pitch w:val="default"/>
    <w:sig w:usb0="80000287" w:usb1="2ACF3C50" w:usb2="00000016" w:usb3="00000000" w:csb0="0004001F" w:csb1="00000000"/>
    <w:embedRegular r:id="rId7" w:fontKey="{29B493A9-37DB-4EF1-82CD-E808B0335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F471B">
    <w:pPr>
      <w:pStyle w:val="19"/>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F17A6">
                          <w:pPr>
                            <w:pStyle w:val="19"/>
                            <w:rPr>
                              <w:rFonts w:hint="eastAsia" w:ascii="Times New Roman" w:hAnsi="Times New Roman" w:cs="Times New Roman" w:eastAsiaTheme="minorEastAsia"/>
                              <w:sz w:val="28"/>
                              <w:szCs w:val="28"/>
                              <w:lang w:eastAsia="zh-CN"/>
                            </w:rPr>
                          </w:pPr>
                          <w:r>
                            <w:rPr>
                              <w:rFonts w:hint="eastAsia" w:ascii="宋体" w:hAnsi="宋体" w:eastAsia="宋体" w:cs="宋体"/>
                              <w:sz w:val="28"/>
                              <w:szCs w:val="28"/>
                              <w:lang w:eastAsia="zh-CN"/>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1BF17A6">
                    <w:pPr>
                      <w:pStyle w:val="19"/>
                      <w:rPr>
                        <w:rFonts w:hint="eastAsia" w:ascii="Times New Roman" w:hAnsi="Times New Roman" w:cs="Times New Roman" w:eastAsiaTheme="minorEastAsia"/>
                        <w:sz w:val="28"/>
                        <w:szCs w:val="28"/>
                        <w:lang w:eastAsia="zh-CN"/>
                      </w:rPr>
                    </w:pPr>
                    <w:r>
                      <w:rPr>
                        <w:rFonts w:hint="eastAsia" w:ascii="宋体" w:hAnsi="宋体" w:eastAsia="宋体" w:cs="宋体"/>
                        <w:sz w:val="28"/>
                        <w:szCs w:val="28"/>
                        <w:lang w:eastAsia="zh-CN"/>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eastAsia" w:ascii="宋体" w:hAnsi="宋体" w:eastAsia="宋体" w:cs="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C66CA"/>
    <w:multiLevelType w:val="singleLevel"/>
    <w:tmpl w:val="9BCC66CA"/>
    <w:lvl w:ilvl="0" w:tentative="0">
      <w:start w:val="1"/>
      <w:numFmt w:val="decimal"/>
      <w:suff w:val="nothing"/>
      <w:lvlText w:val="%1．"/>
      <w:lvlJc w:val="left"/>
      <w:pPr>
        <w:ind w:left="0" w:firstLine="400"/>
      </w:pPr>
      <w:rPr>
        <w:rFonts w:hint="default"/>
      </w:rPr>
    </w:lvl>
  </w:abstractNum>
  <w:abstractNum w:abstractNumId="1">
    <w:nsid w:val="E4BF2276"/>
    <w:multiLevelType w:val="singleLevel"/>
    <w:tmpl w:val="E4BF2276"/>
    <w:lvl w:ilvl="0" w:tentative="0">
      <w:start w:val="1"/>
      <w:numFmt w:val="decimal"/>
      <w:suff w:val="nothing"/>
      <w:lvlText w:val="%1．"/>
      <w:lvlJc w:val="left"/>
      <w:pPr>
        <w:ind w:left="0" w:firstLine="400"/>
      </w:pPr>
      <w:rPr>
        <w:rFonts w:hint="default"/>
      </w:rPr>
    </w:lvl>
  </w:abstractNum>
  <w:abstractNum w:abstractNumId="2">
    <w:nsid w:val="00492D99"/>
    <w:multiLevelType w:val="multilevel"/>
    <w:tmpl w:val="00492D99"/>
    <w:lvl w:ilvl="0" w:tentative="0">
      <w:start w:val="1"/>
      <w:numFmt w:val="chineseCountingThousand"/>
      <w:pStyle w:val="79"/>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6F44B47"/>
    <w:multiLevelType w:val="multilevel"/>
    <w:tmpl w:val="16F44B47"/>
    <w:lvl w:ilvl="0" w:tentative="0">
      <w:start w:val="1"/>
      <w:numFmt w:val="chineseCountingThousand"/>
      <w:suff w:val="space"/>
      <w:lvlText w:val="第%1章"/>
      <w:lvlJc w:val="center"/>
      <w:pPr>
        <w:ind w:left="0" w:firstLine="0"/>
      </w:pPr>
      <w:rPr>
        <w:rFonts w:hint="eastAsia"/>
      </w:rPr>
    </w:lvl>
    <w:lvl w:ilvl="1" w:tentative="0">
      <w:start w:val="1"/>
      <w:numFmt w:val="chineseCountingThousand"/>
      <w:pStyle w:val="81"/>
      <w:suff w:val="space"/>
      <w:lvlText w:val="第%2节"/>
      <w:lvlJc w:val="center"/>
      <w:pPr>
        <w:ind w:left="3261" w:firstLine="0"/>
      </w:pPr>
      <w:rPr>
        <w:rFonts w:hint="eastAsia" w:ascii="Times New Roman" w:hAnsi="Times New Roman" w:cs="Times New Roman"/>
        <w:i w:val="0"/>
        <w:iCs w:val="0"/>
        <w:caps w:val="0"/>
        <w:smallCaps w:val="0"/>
        <w:strike w:val="0"/>
        <w:dstrike w:val="0"/>
        <w:vanish w:val="0"/>
        <w:color w:val="000000"/>
        <w:spacing w:val="0"/>
        <w:position w:val="0"/>
        <w:u w:val="none"/>
        <w:vertAlign w:val="baseline"/>
        <w:lang w:val="zh-CN" w:eastAsia="zh-CN"/>
      </w:rPr>
    </w:lvl>
    <w:lvl w:ilvl="2" w:tentative="0">
      <w:start w:val="1"/>
      <w:numFmt w:val="chineseCountingThousand"/>
      <w:suff w:val="space"/>
      <w:lvlText w:val="%3、"/>
      <w:lvlJc w:val="left"/>
      <w:pPr>
        <w:ind w:left="2495" w:firstLine="482"/>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chineseCountingThousand"/>
      <w:suff w:val="space"/>
      <w:lvlText w:val="（%4）"/>
      <w:lvlJc w:val="left"/>
      <w:pPr>
        <w:ind w:left="-56" w:firstLine="482"/>
      </w:pPr>
      <w:rPr>
        <w:rFonts w:hint="eastAsia"/>
        <w:lang w:val="zh-CN"/>
      </w:rPr>
    </w:lvl>
    <w:lvl w:ilvl="4" w:tentative="0">
      <w:start w:val="1"/>
      <w:numFmt w:val="decimal"/>
      <w:suff w:val="space"/>
      <w:lvlText w:val="%5、"/>
      <w:lvlJc w:val="left"/>
      <w:pPr>
        <w:ind w:left="227" w:firstLine="482"/>
      </w:pPr>
      <w:rPr>
        <w:rFonts w:hint="eastAsia"/>
      </w:rPr>
    </w:lvl>
    <w:lvl w:ilvl="5" w:tentative="0">
      <w:start w:val="1"/>
      <w:numFmt w:val="decimal"/>
      <w:suff w:val="space"/>
      <w:lvlText w:val="（%6）"/>
      <w:lvlJc w:val="left"/>
      <w:pPr>
        <w:ind w:left="227" w:firstLine="482"/>
      </w:pPr>
      <w:rPr>
        <w:rFonts w:hint="eastAsia"/>
        <w:lang w:val="en-US"/>
      </w:rPr>
    </w:lvl>
    <w:lvl w:ilvl="6" w:tentative="0">
      <w:start w:val="1"/>
      <w:numFmt w:val="decimalEnclosedCircle"/>
      <w:suff w:val="space"/>
      <w:lvlText w:val="%7"/>
      <w:lvlJc w:val="left"/>
      <w:pPr>
        <w:ind w:left="0" w:firstLine="482"/>
      </w:pPr>
      <w:rPr>
        <w:rFonts w:hint="eastAsia"/>
      </w:rPr>
    </w:lvl>
    <w:lvl w:ilvl="7" w:tentative="0">
      <w:start w:val="1"/>
      <w:numFmt w:val="decimal"/>
      <w:lvlRestart w:val="1"/>
      <w:isLgl/>
      <w:suff w:val="space"/>
      <w:lvlText w:val="表%1-%8"/>
      <w:lvlJc w:val="left"/>
      <w:pPr>
        <w:ind w:left="3402"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lang w:val="en-US"/>
      </w:rPr>
    </w:lvl>
    <w:lvl w:ilvl="8" w:tentative="0">
      <w:start w:val="1"/>
      <w:numFmt w:val="decimal"/>
      <w:lvlRestart w:val="1"/>
      <w:isLgl/>
      <w:suff w:val="space"/>
      <w:lvlText w:val="图%1-%9"/>
      <w:lvlJc w:val="left"/>
      <w:pPr>
        <w:ind w:left="0" w:firstLine="0"/>
      </w:pPr>
      <w:rPr>
        <w:rFonts w:hint="eastAsia"/>
      </w:rPr>
    </w:lvl>
  </w:abstractNum>
  <w:abstractNum w:abstractNumId="4">
    <w:nsid w:val="262E72C0"/>
    <w:multiLevelType w:val="multilevel"/>
    <w:tmpl w:val="262E72C0"/>
    <w:lvl w:ilvl="0" w:tentative="0">
      <w:start w:val="1"/>
      <w:numFmt w:val="decimal"/>
      <w:pStyle w:val="93"/>
      <w:lvlText w:val="%1."/>
      <w:lvlJc w:val="left"/>
      <w:pPr>
        <w:tabs>
          <w:tab w:val="left" w:pos="720"/>
        </w:tabs>
        <w:ind w:left="720" w:hanging="720"/>
      </w:pPr>
    </w:lvl>
    <w:lvl w:ilvl="1" w:tentative="0">
      <w:start w:val="1"/>
      <w:numFmt w:val="decimal"/>
      <w:pStyle w:val="85"/>
      <w:lvlText w:val="%2."/>
      <w:lvlJc w:val="left"/>
      <w:pPr>
        <w:tabs>
          <w:tab w:val="left" w:pos="1440"/>
        </w:tabs>
        <w:ind w:left="1440" w:hanging="720"/>
      </w:pPr>
    </w:lvl>
    <w:lvl w:ilvl="2" w:tentative="0">
      <w:start w:val="1"/>
      <w:numFmt w:val="decimal"/>
      <w:pStyle w:val="91"/>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5">
    <w:nsid w:val="3CC68960"/>
    <w:multiLevelType w:val="singleLevel"/>
    <w:tmpl w:val="3CC68960"/>
    <w:lvl w:ilvl="0" w:tentative="0">
      <w:start w:val="1"/>
      <w:numFmt w:val="decimal"/>
      <w:suff w:val="nothing"/>
      <w:lvlText w:val="%1．"/>
      <w:lvlJc w:val="left"/>
      <w:pPr>
        <w:ind w:left="0" w:firstLine="400"/>
      </w:pPr>
      <w:rPr>
        <w:rFonts w:hint="default"/>
      </w:rPr>
    </w:lvl>
  </w:abstractNum>
  <w:abstractNum w:abstractNumId="6">
    <w:nsid w:val="4F07D0C4"/>
    <w:multiLevelType w:val="singleLevel"/>
    <w:tmpl w:val="4F07D0C4"/>
    <w:lvl w:ilvl="0" w:tentative="0">
      <w:start w:val="1"/>
      <w:numFmt w:val="chineseCounting"/>
      <w:suff w:val="nothing"/>
      <w:lvlText w:val="（%1）"/>
      <w:lvlJc w:val="left"/>
      <w:pPr>
        <w:ind w:left="0" w:firstLine="420"/>
      </w:pPr>
      <w:rPr>
        <w:rFonts w:hint="eastAsia"/>
      </w:rPr>
    </w:lvl>
  </w:abstractNum>
  <w:abstractNum w:abstractNumId="7">
    <w:nsid w:val="55DEC224"/>
    <w:multiLevelType w:val="singleLevel"/>
    <w:tmpl w:val="55DEC224"/>
    <w:lvl w:ilvl="0" w:tentative="0">
      <w:start w:val="1"/>
      <w:numFmt w:val="decimal"/>
      <w:suff w:val="nothing"/>
      <w:lvlText w:val="%1．"/>
      <w:lvlJc w:val="left"/>
      <w:pPr>
        <w:ind w:left="0" w:firstLine="400"/>
      </w:pPr>
      <w:rPr>
        <w:rFonts w:hint="default"/>
      </w:rPr>
    </w:lvl>
  </w:abstractNum>
  <w:abstractNum w:abstractNumId="8">
    <w:nsid w:val="6CD8046E"/>
    <w:multiLevelType w:val="singleLevel"/>
    <w:tmpl w:val="6CD8046E"/>
    <w:lvl w:ilvl="0" w:tentative="0">
      <w:start w:val="1"/>
      <w:numFmt w:val="decimal"/>
      <w:suff w:val="nothing"/>
      <w:lvlText w:val="%1．"/>
      <w:lvlJc w:val="left"/>
      <w:pPr>
        <w:ind w:left="0" w:firstLine="400"/>
      </w:pPr>
      <w:rPr>
        <w:rFonts w:hint="default"/>
      </w:rPr>
    </w:lvl>
  </w:abstractNum>
  <w:num w:numId="1">
    <w:abstractNumId w:val="2"/>
  </w:num>
  <w:num w:numId="2">
    <w:abstractNumId w:val="3"/>
  </w:num>
  <w:num w:numId="3">
    <w:abstractNumId w:val="4"/>
  </w:num>
  <w:num w:numId="4">
    <w:abstractNumId w:val="6"/>
  </w:num>
  <w:num w:numId="5">
    <w:abstractNumId w:val="7"/>
  </w:num>
  <w:num w:numId="6">
    <w:abstractNumId w:val="8"/>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5YjZhMjhiMjFkNDc1YTFkNDhiMDJmNTdkNWUyYjMifQ=="/>
  </w:docVars>
  <w:rsids>
    <w:rsidRoot w:val="0034344A"/>
    <w:rsid w:val="000044FC"/>
    <w:rsid w:val="00004515"/>
    <w:rsid w:val="0001648E"/>
    <w:rsid w:val="00030A65"/>
    <w:rsid w:val="0008398A"/>
    <w:rsid w:val="000A1ACF"/>
    <w:rsid w:val="000B7616"/>
    <w:rsid w:val="000C00EA"/>
    <w:rsid w:val="000C09CC"/>
    <w:rsid w:val="000C0A14"/>
    <w:rsid w:val="000D05E8"/>
    <w:rsid w:val="000D0C8A"/>
    <w:rsid w:val="00100279"/>
    <w:rsid w:val="00104C55"/>
    <w:rsid w:val="00107761"/>
    <w:rsid w:val="001102AE"/>
    <w:rsid w:val="00120E28"/>
    <w:rsid w:val="00120FC3"/>
    <w:rsid w:val="00123CF4"/>
    <w:rsid w:val="00134AC1"/>
    <w:rsid w:val="00154692"/>
    <w:rsid w:val="00156D66"/>
    <w:rsid w:val="00173D9D"/>
    <w:rsid w:val="00175C7A"/>
    <w:rsid w:val="00183A97"/>
    <w:rsid w:val="001E1447"/>
    <w:rsid w:val="001F4A51"/>
    <w:rsid w:val="00201CBD"/>
    <w:rsid w:val="0020724E"/>
    <w:rsid w:val="00227E7B"/>
    <w:rsid w:val="00230A73"/>
    <w:rsid w:val="00231CDA"/>
    <w:rsid w:val="00250BCE"/>
    <w:rsid w:val="002534AF"/>
    <w:rsid w:val="0026677F"/>
    <w:rsid w:val="00287DD5"/>
    <w:rsid w:val="00295603"/>
    <w:rsid w:val="002A2176"/>
    <w:rsid w:val="002B724F"/>
    <w:rsid w:val="002D27BB"/>
    <w:rsid w:val="002E75D3"/>
    <w:rsid w:val="003352EE"/>
    <w:rsid w:val="0033738E"/>
    <w:rsid w:val="003427A6"/>
    <w:rsid w:val="0034344A"/>
    <w:rsid w:val="00361BB2"/>
    <w:rsid w:val="00370A9A"/>
    <w:rsid w:val="00371EC9"/>
    <w:rsid w:val="00387F34"/>
    <w:rsid w:val="003B2971"/>
    <w:rsid w:val="003B3B4A"/>
    <w:rsid w:val="003C04CA"/>
    <w:rsid w:val="003C4431"/>
    <w:rsid w:val="003C45C2"/>
    <w:rsid w:val="003F1B78"/>
    <w:rsid w:val="003F2F1D"/>
    <w:rsid w:val="003F7E4B"/>
    <w:rsid w:val="00400402"/>
    <w:rsid w:val="00400932"/>
    <w:rsid w:val="00413A6F"/>
    <w:rsid w:val="004700D2"/>
    <w:rsid w:val="004812C5"/>
    <w:rsid w:val="004817A0"/>
    <w:rsid w:val="00481FAE"/>
    <w:rsid w:val="00485F0E"/>
    <w:rsid w:val="004970D9"/>
    <w:rsid w:val="004C47E3"/>
    <w:rsid w:val="004E0CFA"/>
    <w:rsid w:val="004F049C"/>
    <w:rsid w:val="004F179B"/>
    <w:rsid w:val="004F4326"/>
    <w:rsid w:val="00500B01"/>
    <w:rsid w:val="00505483"/>
    <w:rsid w:val="00515515"/>
    <w:rsid w:val="00523F37"/>
    <w:rsid w:val="0057737D"/>
    <w:rsid w:val="005774F8"/>
    <w:rsid w:val="0059001B"/>
    <w:rsid w:val="005A0FB6"/>
    <w:rsid w:val="005B2ACE"/>
    <w:rsid w:val="005B71C6"/>
    <w:rsid w:val="005C31FD"/>
    <w:rsid w:val="005C3523"/>
    <w:rsid w:val="005E6501"/>
    <w:rsid w:val="00612754"/>
    <w:rsid w:val="00622AF6"/>
    <w:rsid w:val="006429F5"/>
    <w:rsid w:val="00646266"/>
    <w:rsid w:val="00667E3E"/>
    <w:rsid w:val="00674F2A"/>
    <w:rsid w:val="006B5D3C"/>
    <w:rsid w:val="006C0E5E"/>
    <w:rsid w:val="006D4200"/>
    <w:rsid w:val="006E2502"/>
    <w:rsid w:val="007053E8"/>
    <w:rsid w:val="007221A1"/>
    <w:rsid w:val="007269A7"/>
    <w:rsid w:val="00730722"/>
    <w:rsid w:val="007465DF"/>
    <w:rsid w:val="007B430C"/>
    <w:rsid w:val="007B5BED"/>
    <w:rsid w:val="007D1CE3"/>
    <w:rsid w:val="007E4453"/>
    <w:rsid w:val="007E58E2"/>
    <w:rsid w:val="00813B37"/>
    <w:rsid w:val="00880D7E"/>
    <w:rsid w:val="0088232C"/>
    <w:rsid w:val="008A2103"/>
    <w:rsid w:val="008B6F44"/>
    <w:rsid w:val="008C5CB5"/>
    <w:rsid w:val="008C6480"/>
    <w:rsid w:val="008E1116"/>
    <w:rsid w:val="008E79BB"/>
    <w:rsid w:val="008F5E83"/>
    <w:rsid w:val="009117F0"/>
    <w:rsid w:val="00914BE5"/>
    <w:rsid w:val="00927AD0"/>
    <w:rsid w:val="00941339"/>
    <w:rsid w:val="009664AA"/>
    <w:rsid w:val="009714A1"/>
    <w:rsid w:val="009728D0"/>
    <w:rsid w:val="00981F45"/>
    <w:rsid w:val="009A21EB"/>
    <w:rsid w:val="009B697E"/>
    <w:rsid w:val="009B7CFE"/>
    <w:rsid w:val="009C22F5"/>
    <w:rsid w:val="009D022F"/>
    <w:rsid w:val="009F31C4"/>
    <w:rsid w:val="009F5528"/>
    <w:rsid w:val="009F67AF"/>
    <w:rsid w:val="00A51C5C"/>
    <w:rsid w:val="00A9297F"/>
    <w:rsid w:val="00AC2079"/>
    <w:rsid w:val="00AD7BCF"/>
    <w:rsid w:val="00AF79E8"/>
    <w:rsid w:val="00B05471"/>
    <w:rsid w:val="00B05AC9"/>
    <w:rsid w:val="00B06D30"/>
    <w:rsid w:val="00B45E75"/>
    <w:rsid w:val="00B65D7D"/>
    <w:rsid w:val="00B73537"/>
    <w:rsid w:val="00B8135D"/>
    <w:rsid w:val="00BA2865"/>
    <w:rsid w:val="00BA4B94"/>
    <w:rsid w:val="00BB7C0E"/>
    <w:rsid w:val="00BC0DBD"/>
    <w:rsid w:val="00BD145F"/>
    <w:rsid w:val="00BD28E3"/>
    <w:rsid w:val="00BD753A"/>
    <w:rsid w:val="00BE1A16"/>
    <w:rsid w:val="00BE5E3B"/>
    <w:rsid w:val="00C018BD"/>
    <w:rsid w:val="00C10044"/>
    <w:rsid w:val="00C30FC4"/>
    <w:rsid w:val="00C34C0E"/>
    <w:rsid w:val="00C35097"/>
    <w:rsid w:val="00C51A8E"/>
    <w:rsid w:val="00C61FCA"/>
    <w:rsid w:val="00C86D70"/>
    <w:rsid w:val="00C91D55"/>
    <w:rsid w:val="00C94A89"/>
    <w:rsid w:val="00CA041C"/>
    <w:rsid w:val="00CC219B"/>
    <w:rsid w:val="00CF6E69"/>
    <w:rsid w:val="00D02759"/>
    <w:rsid w:val="00D15E42"/>
    <w:rsid w:val="00D15F5A"/>
    <w:rsid w:val="00D32B6C"/>
    <w:rsid w:val="00D43A5B"/>
    <w:rsid w:val="00D762AB"/>
    <w:rsid w:val="00D90C38"/>
    <w:rsid w:val="00DD3CAC"/>
    <w:rsid w:val="00DD7009"/>
    <w:rsid w:val="00DE0CB0"/>
    <w:rsid w:val="00DE32F4"/>
    <w:rsid w:val="00E355B1"/>
    <w:rsid w:val="00E3644A"/>
    <w:rsid w:val="00E37D6F"/>
    <w:rsid w:val="00E6171C"/>
    <w:rsid w:val="00E629E1"/>
    <w:rsid w:val="00E649A1"/>
    <w:rsid w:val="00E72E07"/>
    <w:rsid w:val="00E741A8"/>
    <w:rsid w:val="00E80583"/>
    <w:rsid w:val="00E830CA"/>
    <w:rsid w:val="00E85B45"/>
    <w:rsid w:val="00ED1C48"/>
    <w:rsid w:val="00ED24F2"/>
    <w:rsid w:val="00ED76AA"/>
    <w:rsid w:val="00EE16BD"/>
    <w:rsid w:val="00F01AF1"/>
    <w:rsid w:val="00F16FDA"/>
    <w:rsid w:val="00F30762"/>
    <w:rsid w:val="00F33570"/>
    <w:rsid w:val="00F64589"/>
    <w:rsid w:val="00F71166"/>
    <w:rsid w:val="00F7732F"/>
    <w:rsid w:val="00F96430"/>
    <w:rsid w:val="00FA06BF"/>
    <w:rsid w:val="00FB4E13"/>
    <w:rsid w:val="00FC3424"/>
    <w:rsid w:val="00FE27BD"/>
    <w:rsid w:val="00FE3C4E"/>
    <w:rsid w:val="010A6E0C"/>
    <w:rsid w:val="01D86637"/>
    <w:rsid w:val="02B546C0"/>
    <w:rsid w:val="032B3375"/>
    <w:rsid w:val="036603FB"/>
    <w:rsid w:val="03893D8B"/>
    <w:rsid w:val="03AE1751"/>
    <w:rsid w:val="03BC6FF0"/>
    <w:rsid w:val="0506170D"/>
    <w:rsid w:val="066F1039"/>
    <w:rsid w:val="07486471"/>
    <w:rsid w:val="074958E1"/>
    <w:rsid w:val="07936C77"/>
    <w:rsid w:val="08362309"/>
    <w:rsid w:val="08455A9A"/>
    <w:rsid w:val="085D2B61"/>
    <w:rsid w:val="08B66B90"/>
    <w:rsid w:val="08BF40AC"/>
    <w:rsid w:val="091066E5"/>
    <w:rsid w:val="09604CAA"/>
    <w:rsid w:val="09B47989"/>
    <w:rsid w:val="0A267E72"/>
    <w:rsid w:val="0A6A2374"/>
    <w:rsid w:val="0AAC7BBC"/>
    <w:rsid w:val="0AB13EC9"/>
    <w:rsid w:val="0C7E602C"/>
    <w:rsid w:val="0D4929EF"/>
    <w:rsid w:val="0D4C7ED9"/>
    <w:rsid w:val="0E0B38F0"/>
    <w:rsid w:val="0EB83A78"/>
    <w:rsid w:val="0FD77F2D"/>
    <w:rsid w:val="0FDA3BF0"/>
    <w:rsid w:val="10152911"/>
    <w:rsid w:val="101C3B92"/>
    <w:rsid w:val="10E50428"/>
    <w:rsid w:val="10E54CB1"/>
    <w:rsid w:val="12492C39"/>
    <w:rsid w:val="138547A0"/>
    <w:rsid w:val="13F0214A"/>
    <w:rsid w:val="145C6C53"/>
    <w:rsid w:val="14B74623"/>
    <w:rsid w:val="162E13EE"/>
    <w:rsid w:val="16582103"/>
    <w:rsid w:val="16896B12"/>
    <w:rsid w:val="1699418F"/>
    <w:rsid w:val="17CF1E59"/>
    <w:rsid w:val="188D656C"/>
    <w:rsid w:val="18A137CE"/>
    <w:rsid w:val="192561AE"/>
    <w:rsid w:val="1AAB4490"/>
    <w:rsid w:val="1E1B7B7F"/>
    <w:rsid w:val="1EDD0DE0"/>
    <w:rsid w:val="1F8C2663"/>
    <w:rsid w:val="1FC02EA8"/>
    <w:rsid w:val="203C3DDD"/>
    <w:rsid w:val="206F761B"/>
    <w:rsid w:val="20D564EE"/>
    <w:rsid w:val="21350F58"/>
    <w:rsid w:val="21743EAD"/>
    <w:rsid w:val="21A46446"/>
    <w:rsid w:val="229B7D58"/>
    <w:rsid w:val="23AC3027"/>
    <w:rsid w:val="24B67A73"/>
    <w:rsid w:val="24C30629"/>
    <w:rsid w:val="2601765A"/>
    <w:rsid w:val="26922CB5"/>
    <w:rsid w:val="28373807"/>
    <w:rsid w:val="287F6042"/>
    <w:rsid w:val="28991DCC"/>
    <w:rsid w:val="292D1347"/>
    <w:rsid w:val="29CE3CF8"/>
    <w:rsid w:val="2AA36F32"/>
    <w:rsid w:val="2BAA609E"/>
    <w:rsid w:val="2C7A0167"/>
    <w:rsid w:val="2CF27CFD"/>
    <w:rsid w:val="2D337A40"/>
    <w:rsid w:val="2E762FAD"/>
    <w:rsid w:val="2EE12A31"/>
    <w:rsid w:val="2EF91655"/>
    <w:rsid w:val="2FEA5603"/>
    <w:rsid w:val="300F249A"/>
    <w:rsid w:val="30286D46"/>
    <w:rsid w:val="30AB4D93"/>
    <w:rsid w:val="30F0044A"/>
    <w:rsid w:val="316149B2"/>
    <w:rsid w:val="31773F9D"/>
    <w:rsid w:val="341028BD"/>
    <w:rsid w:val="34EA4D40"/>
    <w:rsid w:val="353C5421"/>
    <w:rsid w:val="36095D6E"/>
    <w:rsid w:val="36DF3ECD"/>
    <w:rsid w:val="36EE3C2B"/>
    <w:rsid w:val="36F20B34"/>
    <w:rsid w:val="3741738D"/>
    <w:rsid w:val="37DE612D"/>
    <w:rsid w:val="37F012DD"/>
    <w:rsid w:val="3872263A"/>
    <w:rsid w:val="3894610C"/>
    <w:rsid w:val="3914766B"/>
    <w:rsid w:val="3925145A"/>
    <w:rsid w:val="39592215"/>
    <w:rsid w:val="3971469F"/>
    <w:rsid w:val="3A8000F6"/>
    <w:rsid w:val="3B9E20FA"/>
    <w:rsid w:val="3BC0374F"/>
    <w:rsid w:val="3D2A3CB2"/>
    <w:rsid w:val="3D3A76B0"/>
    <w:rsid w:val="3D412BB2"/>
    <w:rsid w:val="3E1E1AF9"/>
    <w:rsid w:val="3E7052F2"/>
    <w:rsid w:val="3F125FF2"/>
    <w:rsid w:val="3F54607B"/>
    <w:rsid w:val="3F856046"/>
    <w:rsid w:val="3FEF631E"/>
    <w:rsid w:val="404E74E8"/>
    <w:rsid w:val="40C94DC1"/>
    <w:rsid w:val="412D5350"/>
    <w:rsid w:val="41642EBF"/>
    <w:rsid w:val="41D67795"/>
    <w:rsid w:val="41F320F5"/>
    <w:rsid w:val="42D87FBC"/>
    <w:rsid w:val="43055ADD"/>
    <w:rsid w:val="431E31A2"/>
    <w:rsid w:val="43985097"/>
    <w:rsid w:val="44512DD0"/>
    <w:rsid w:val="456711F0"/>
    <w:rsid w:val="45E14DD2"/>
    <w:rsid w:val="461F61F5"/>
    <w:rsid w:val="46571786"/>
    <w:rsid w:val="46CD4CD1"/>
    <w:rsid w:val="46EC2DE4"/>
    <w:rsid w:val="47305B9A"/>
    <w:rsid w:val="4787788E"/>
    <w:rsid w:val="48677399"/>
    <w:rsid w:val="489F1458"/>
    <w:rsid w:val="49212EE0"/>
    <w:rsid w:val="4A3A6E47"/>
    <w:rsid w:val="4A6E0EB3"/>
    <w:rsid w:val="4AC91E8F"/>
    <w:rsid w:val="4B592E71"/>
    <w:rsid w:val="4C5C5435"/>
    <w:rsid w:val="4D693BB4"/>
    <w:rsid w:val="4DCF7DDE"/>
    <w:rsid w:val="4EF851EF"/>
    <w:rsid w:val="4F616203"/>
    <w:rsid w:val="4F9D18F3"/>
    <w:rsid w:val="500E336D"/>
    <w:rsid w:val="502C5764"/>
    <w:rsid w:val="51195B69"/>
    <w:rsid w:val="51493AE0"/>
    <w:rsid w:val="5160086B"/>
    <w:rsid w:val="51635F8E"/>
    <w:rsid w:val="522E2CD6"/>
    <w:rsid w:val="52A5130D"/>
    <w:rsid w:val="547E3398"/>
    <w:rsid w:val="54D2203E"/>
    <w:rsid w:val="55744822"/>
    <w:rsid w:val="560634C9"/>
    <w:rsid w:val="56DD02C3"/>
    <w:rsid w:val="57FD73D2"/>
    <w:rsid w:val="581314C9"/>
    <w:rsid w:val="583A0626"/>
    <w:rsid w:val="584B45E2"/>
    <w:rsid w:val="58C75FFA"/>
    <w:rsid w:val="592B4413"/>
    <w:rsid w:val="593659D9"/>
    <w:rsid w:val="594154C3"/>
    <w:rsid w:val="596F4300"/>
    <w:rsid w:val="5BB97AB4"/>
    <w:rsid w:val="5BE30FD5"/>
    <w:rsid w:val="5D3425C9"/>
    <w:rsid w:val="5D487342"/>
    <w:rsid w:val="5D4A1A32"/>
    <w:rsid w:val="5D5E4DB7"/>
    <w:rsid w:val="5E2D4325"/>
    <w:rsid w:val="5F555D46"/>
    <w:rsid w:val="60EA4A1D"/>
    <w:rsid w:val="61305501"/>
    <w:rsid w:val="61804BE3"/>
    <w:rsid w:val="61970A3D"/>
    <w:rsid w:val="62BC668E"/>
    <w:rsid w:val="62E96ED1"/>
    <w:rsid w:val="62FC765F"/>
    <w:rsid w:val="632717A7"/>
    <w:rsid w:val="642B176B"/>
    <w:rsid w:val="64F47DAF"/>
    <w:rsid w:val="653A7EB8"/>
    <w:rsid w:val="65942523"/>
    <w:rsid w:val="66700EB1"/>
    <w:rsid w:val="667B69EC"/>
    <w:rsid w:val="66BB2A74"/>
    <w:rsid w:val="66F347C2"/>
    <w:rsid w:val="672E3020"/>
    <w:rsid w:val="685748DD"/>
    <w:rsid w:val="68C4111D"/>
    <w:rsid w:val="69D1246D"/>
    <w:rsid w:val="6AD10F55"/>
    <w:rsid w:val="6AD30254"/>
    <w:rsid w:val="6AD40467"/>
    <w:rsid w:val="6C384A25"/>
    <w:rsid w:val="6CA36CB9"/>
    <w:rsid w:val="6D940381"/>
    <w:rsid w:val="6D990F8E"/>
    <w:rsid w:val="6E6715F2"/>
    <w:rsid w:val="6E671F69"/>
    <w:rsid w:val="6F170E79"/>
    <w:rsid w:val="6FC1249A"/>
    <w:rsid w:val="708120BC"/>
    <w:rsid w:val="70C9589B"/>
    <w:rsid w:val="70CE3BAA"/>
    <w:rsid w:val="71950224"/>
    <w:rsid w:val="72266E65"/>
    <w:rsid w:val="722A4E10"/>
    <w:rsid w:val="728269FA"/>
    <w:rsid w:val="728A6536"/>
    <w:rsid w:val="738D3673"/>
    <w:rsid w:val="73A6749F"/>
    <w:rsid w:val="73E94CF6"/>
    <w:rsid w:val="745D327B"/>
    <w:rsid w:val="74F3598D"/>
    <w:rsid w:val="750556C0"/>
    <w:rsid w:val="75347933"/>
    <w:rsid w:val="75370EE5"/>
    <w:rsid w:val="75B73ED4"/>
    <w:rsid w:val="76832D8B"/>
    <w:rsid w:val="77BD3214"/>
    <w:rsid w:val="78A91184"/>
    <w:rsid w:val="794A7131"/>
    <w:rsid w:val="79EA1045"/>
    <w:rsid w:val="7A74131E"/>
    <w:rsid w:val="7AB800C0"/>
    <w:rsid w:val="7ABC4A73"/>
    <w:rsid w:val="7ABF2B35"/>
    <w:rsid w:val="7AE96B7F"/>
    <w:rsid w:val="7B6F1AE6"/>
    <w:rsid w:val="7B85492F"/>
    <w:rsid w:val="7CB4667F"/>
    <w:rsid w:val="7CBE6084"/>
    <w:rsid w:val="7D3E4DCA"/>
    <w:rsid w:val="7D614AC1"/>
    <w:rsid w:val="7E150331"/>
    <w:rsid w:val="7E3459C2"/>
    <w:rsid w:val="7F4219EB"/>
    <w:rsid w:val="7F8C5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9"/>
    <w:pPr>
      <w:spacing w:before="1"/>
      <w:ind w:right="349"/>
      <w:jc w:val="center"/>
      <w:outlineLvl w:val="0"/>
    </w:pPr>
    <w:rPr>
      <w:rFonts w:ascii="方正小标宋简体" w:hAnsi="方正小标宋简体" w:eastAsia="方正小标宋简体" w:cs="方正小标宋简体"/>
      <w:sz w:val="44"/>
      <w:szCs w:val="44"/>
    </w:rPr>
  </w:style>
  <w:style w:type="paragraph" w:styleId="3">
    <w:name w:val="heading 2"/>
    <w:basedOn w:val="1"/>
    <w:next w:val="1"/>
    <w:link w:val="44"/>
    <w:qFormat/>
    <w:uiPriority w:val="9"/>
    <w:pPr>
      <w:spacing w:before="50" w:beforeLines="50" w:after="50" w:afterLines="50" w:line="360" w:lineRule="auto"/>
      <w:jc w:val="center"/>
      <w:outlineLvl w:val="1"/>
    </w:pPr>
    <w:rPr>
      <w:rFonts w:ascii="Times New Roman" w:hAnsi="Times New Roman" w:eastAsia="宋体" w:cs="Times New Roman"/>
      <w:b/>
      <w:bCs/>
      <w:sz w:val="24"/>
      <w:szCs w:val="32"/>
      <w:lang w:val="zh-CN"/>
    </w:rPr>
  </w:style>
  <w:style w:type="paragraph" w:styleId="4">
    <w:name w:val="heading 3"/>
    <w:basedOn w:val="1"/>
    <w:next w:val="1"/>
    <w:link w:val="45"/>
    <w:unhideWhenUsed/>
    <w:qFormat/>
    <w:uiPriority w:val="9"/>
    <w:pPr>
      <w:keepNext/>
      <w:keepLines/>
      <w:spacing w:line="360" w:lineRule="auto"/>
      <w:outlineLvl w:val="2"/>
    </w:pPr>
    <w:rPr>
      <w:rFonts w:ascii="Times New Roman" w:hAnsi="Times New Roman" w:eastAsia="仿宋_GB2312"/>
      <w:bCs/>
      <w:sz w:val="30"/>
      <w:szCs w:val="32"/>
    </w:rPr>
  </w:style>
  <w:style w:type="paragraph" w:styleId="5">
    <w:name w:val="heading 4"/>
    <w:basedOn w:val="1"/>
    <w:next w:val="1"/>
    <w:link w:val="46"/>
    <w:unhideWhenUsed/>
    <w:qFormat/>
    <w:uiPriority w:val="9"/>
    <w:pPr>
      <w:keepNext/>
      <w:keepLines/>
      <w:spacing w:before="280" w:after="290" w:line="376" w:lineRule="auto"/>
      <w:ind w:left="4480" w:firstLine="482"/>
      <w:outlineLvl w:val="3"/>
    </w:pPr>
    <w:rPr>
      <w:rFonts w:asciiTheme="majorHAnsi" w:hAnsiTheme="majorHAnsi" w:eastAsiaTheme="majorEastAsia" w:cstheme="majorBidi"/>
      <w:b/>
      <w:bCs/>
      <w:sz w:val="28"/>
      <w:szCs w:val="28"/>
    </w:rPr>
  </w:style>
  <w:style w:type="paragraph" w:styleId="6">
    <w:name w:val="heading 5"/>
    <w:basedOn w:val="1"/>
    <w:next w:val="1"/>
    <w:link w:val="47"/>
    <w:qFormat/>
    <w:uiPriority w:val="9"/>
    <w:pPr>
      <w:widowControl/>
      <w:spacing w:line="420" w:lineRule="exact"/>
      <w:ind w:left="4763" w:firstLine="482"/>
      <w:outlineLvl w:val="4"/>
    </w:pPr>
    <w:rPr>
      <w:rFonts w:ascii="Times New Roman" w:hAnsi="Times New Roman" w:eastAsia="宋体" w:cs="Times New Roman"/>
      <w:bCs/>
      <w:sz w:val="24"/>
      <w:szCs w:val="28"/>
      <w:lang w:val="zh-CN"/>
    </w:rPr>
  </w:style>
  <w:style w:type="paragraph" w:styleId="7">
    <w:name w:val="heading 6"/>
    <w:basedOn w:val="1"/>
    <w:next w:val="1"/>
    <w:link w:val="48"/>
    <w:qFormat/>
    <w:uiPriority w:val="9"/>
    <w:pPr>
      <w:spacing w:line="420" w:lineRule="exact"/>
      <w:ind w:left="4763" w:firstLine="482"/>
      <w:outlineLvl w:val="5"/>
    </w:pPr>
    <w:rPr>
      <w:rFonts w:ascii="Times New Roman" w:hAnsi="Times New Roman" w:eastAsia="宋体" w:cs="Times New Roman"/>
      <w:bCs/>
      <w:sz w:val="24"/>
      <w:szCs w:val="24"/>
      <w:lang w:val="zh-CN"/>
    </w:rPr>
  </w:style>
  <w:style w:type="paragraph" w:styleId="8">
    <w:name w:val="heading 7"/>
    <w:basedOn w:val="1"/>
    <w:next w:val="1"/>
    <w:link w:val="49"/>
    <w:qFormat/>
    <w:uiPriority w:val="9"/>
    <w:pPr>
      <w:keepNext/>
      <w:spacing w:line="420" w:lineRule="exact"/>
      <w:ind w:left="4536" w:firstLine="482"/>
      <w:outlineLvl w:val="6"/>
    </w:pPr>
    <w:rPr>
      <w:rFonts w:ascii="Times New Roman" w:hAnsi="Times New Roman" w:eastAsia="宋体" w:cs="Times New Roman"/>
      <w:bCs/>
      <w:sz w:val="24"/>
      <w:szCs w:val="24"/>
      <w:lang w:val="zh-CN"/>
    </w:rPr>
  </w:style>
  <w:style w:type="paragraph" w:styleId="9">
    <w:name w:val="heading 8"/>
    <w:basedOn w:val="1"/>
    <w:next w:val="1"/>
    <w:link w:val="50"/>
    <w:qFormat/>
    <w:uiPriority w:val="9"/>
    <w:pPr>
      <w:keepNext/>
      <w:keepLines/>
      <w:spacing w:line="420" w:lineRule="exact"/>
      <w:jc w:val="center"/>
      <w:outlineLvl w:val="7"/>
    </w:pPr>
    <w:rPr>
      <w:rFonts w:ascii="Times New Roman" w:hAnsi="Times New Roman" w:eastAsia="黑体" w:cs="Times New Roman"/>
      <w:szCs w:val="24"/>
      <w:lang w:val="zh-CN"/>
    </w:rPr>
  </w:style>
  <w:style w:type="paragraph" w:styleId="10">
    <w:name w:val="heading 9"/>
    <w:basedOn w:val="1"/>
    <w:next w:val="1"/>
    <w:link w:val="51"/>
    <w:qFormat/>
    <w:uiPriority w:val="9"/>
    <w:pPr>
      <w:keepNext/>
      <w:keepLines/>
      <w:spacing w:line="420" w:lineRule="exact"/>
      <w:ind w:left="4536"/>
      <w:jc w:val="center"/>
      <w:outlineLvl w:val="8"/>
    </w:pPr>
    <w:rPr>
      <w:rFonts w:ascii="Times New Roman" w:hAnsi="Times New Roman" w:eastAsia="黑体" w:cs="Times New Roman"/>
      <w:szCs w:val="21"/>
      <w:lang w:val="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ind w:firstLine="420"/>
    </w:pPr>
    <w:rPr>
      <w:szCs w:val="20"/>
    </w:rPr>
  </w:style>
  <w:style w:type="paragraph" w:styleId="12">
    <w:name w:val="annotation text"/>
    <w:basedOn w:val="1"/>
    <w:link w:val="42"/>
    <w:semiHidden/>
    <w:unhideWhenUsed/>
    <w:qFormat/>
    <w:uiPriority w:val="99"/>
    <w:pPr>
      <w:jc w:val="left"/>
    </w:pPr>
  </w:style>
  <w:style w:type="paragraph" w:styleId="13">
    <w:name w:val="Body Text"/>
    <w:basedOn w:val="1"/>
    <w:next w:val="14"/>
    <w:link w:val="41"/>
    <w:qFormat/>
    <w:uiPriority w:val="1"/>
    <w:pPr>
      <w:ind w:left="221"/>
    </w:pPr>
    <w:rPr>
      <w:sz w:val="32"/>
      <w:szCs w:val="32"/>
    </w:rPr>
  </w:style>
  <w:style w:type="paragraph" w:styleId="14">
    <w:name w:val="Body Text Indent 2"/>
    <w:basedOn w:val="1"/>
    <w:qFormat/>
    <w:uiPriority w:val="0"/>
    <w:pPr>
      <w:spacing w:after="120" w:line="480" w:lineRule="auto"/>
      <w:ind w:left="420" w:leftChars="200"/>
    </w:pPr>
    <w:rPr>
      <w:rFonts w:ascii="Times New Roman" w:hAnsi="Times New Roman" w:eastAsia="宋体" w:cs="Times New Roman"/>
    </w:rPr>
  </w:style>
  <w:style w:type="paragraph" w:styleId="15">
    <w:name w:val="Body Text Indent"/>
    <w:basedOn w:val="1"/>
    <w:next w:val="11"/>
    <w:link w:val="39"/>
    <w:qFormat/>
    <w:uiPriority w:val="0"/>
    <w:pPr>
      <w:spacing w:line="440" w:lineRule="exact"/>
      <w:ind w:firstLine="480" w:firstLineChars="200"/>
    </w:pPr>
    <w:rPr>
      <w:rFonts w:ascii="宋体" w:hAnsi="宋体" w:cs="宋体"/>
      <w:kern w:val="0"/>
      <w:szCs w:val="21"/>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52"/>
    <w:qFormat/>
    <w:uiPriority w:val="0"/>
    <w:rPr>
      <w:rFonts w:ascii="宋体" w:hAnsi="Courier New"/>
      <w:szCs w:val="20"/>
    </w:rPr>
  </w:style>
  <w:style w:type="paragraph" w:styleId="18">
    <w:name w:val="Balloon Text"/>
    <w:basedOn w:val="1"/>
    <w:link w:val="53"/>
    <w:semiHidden/>
    <w:unhideWhenUsed/>
    <w:qFormat/>
    <w:uiPriority w:val="99"/>
    <w:rPr>
      <w:sz w:val="18"/>
      <w:szCs w:val="18"/>
    </w:rPr>
  </w:style>
  <w:style w:type="paragraph" w:styleId="19">
    <w:name w:val="footer"/>
    <w:basedOn w:val="1"/>
    <w:link w:val="36"/>
    <w:unhideWhenUsed/>
    <w:qFormat/>
    <w:uiPriority w:val="99"/>
    <w:pPr>
      <w:tabs>
        <w:tab w:val="center" w:pos="4153"/>
        <w:tab w:val="right" w:pos="8306"/>
      </w:tabs>
      <w:snapToGrid w:val="0"/>
      <w:jc w:val="left"/>
    </w:pPr>
    <w:rPr>
      <w:sz w:val="18"/>
      <w:szCs w:val="18"/>
    </w:rPr>
  </w:style>
  <w:style w:type="paragraph" w:styleId="20">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2"/>
    <w:basedOn w:val="1"/>
    <w:next w:val="1"/>
    <w:unhideWhenUsed/>
    <w:qFormat/>
    <w:uiPriority w:val="39"/>
    <w:pPr>
      <w:ind w:left="420" w:leftChars="200"/>
    </w:pPr>
  </w:style>
  <w:style w:type="paragraph" w:styleId="23">
    <w:name w:val="Normal (Web)"/>
    <w:basedOn w:val="1"/>
    <w:semiHidden/>
    <w:unhideWhenUsed/>
    <w:qFormat/>
    <w:uiPriority w:val="99"/>
    <w:pPr>
      <w:spacing w:beforeAutospacing="1" w:afterAutospacing="1"/>
      <w:jc w:val="left"/>
    </w:pPr>
    <w:rPr>
      <w:rFonts w:cs="Times New Roman"/>
      <w:kern w:val="0"/>
      <w:sz w:val="24"/>
    </w:rPr>
  </w:style>
  <w:style w:type="paragraph" w:styleId="24">
    <w:name w:val="annotation subject"/>
    <w:basedOn w:val="12"/>
    <w:next w:val="12"/>
    <w:link w:val="43"/>
    <w:semiHidden/>
    <w:unhideWhenUsed/>
    <w:qFormat/>
    <w:uiPriority w:val="99"/>
    <w:rPr>
      <w:b/>
      <w:bCs/>
    </w:rPr>
  </w:style>
  <w:style w:type="paragraph" w:styleId="25">
    <w:name w:val="Body Text First Indent"/>
    <w:basedOn w:val="13"/>
    <w:next w:val="13"/>
    <w:qFormat/>
    <w:uiPriority w:val="0"/>
    <w:pPr>
      <w:ind w:firstLine="100" w:firstLineChars="100"/>
    </w:pPr>
  </w:style>
  <w:style w:type="paragraph" w:styleId="26">
    <w:name w:val="Body Text First Indent 2"/>
    <w:basedOn w:val="15"/>
    <w:next w:val="25"/>
    <w:link w:val="40"/>
    <w:qFormat/>
    <w:uiPriority w:val="0"/>
    <w:pPr>
      <w:ind w:firstLine="420"/>
    </w:pPr>
  </w:style>
  <w:style w:type="table" w:styleId="28">
    <w:name w:val="Table Grid"/>
    <w:basedOn w:val="27"/>
    <w:unhideWhenUsed/>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FollowedHyperlink"/>
    <w:basedOn w:val="29"/>
    <w:semiHidden/>
    <w:unhideWhenUsed/>
    <w:qFormat/>
    <w:uiPriority w:val="99"/>
    <w:rPr>
      <w:color w:val="954F72"/>
      <w:u w:val="single"/>
    </w:rPr>
  </w:style>
  <w:style w:type="character" w:styleId="33">
    <w:name w:val="Hyperlink"/>
    <w:basedOn w:val="29"/>
    <w:unhideWhenUsed/>
    <w:qFormat/>
    <w:uiPriority w:val="99"/>
    <w:rPr>
      <w:color w:val="0000FF"/>
      <w:u w:val="single"/>
    </w:rPr>
  </w:style>
  <w:style w:type="character" w:styleId="34">
    <w:name w:val="annotation reference"/>
    <w:basedOn w:val="29"/>
    <w:semiHidden/>
    <w:unhideWhenUsed/>
    <w:qFormat/>
    <w:uiPriority w:val="99"/>
    <w:rPr>
      <w:sz w:val="21"/>
      <w:szCs w:val="21"/>
    </w:rPr>
  </w:style>
  <w:style w:type="character" w:customStyle="1" w:styleId="35">
    <w:name w:val="页眉 字符"/>
    <w:basedOn w:val="29"/>
    <w:link w:val="20"/>
    <w:qFormat/>
    <w:uiPriority w:val="99"/>
    <w:rPr>
      <w:sz w:val="18"/>
      <w:szCs w:val="18"/>
    </w:rPr>
  </w:style>
  <w:style w:type="character" w:customStyle="1" w:styleId="36">
    <w:name w:val="页脚 字符"/>
    <w:basedOn w:val="29"/>
    <w:link w:val="19"/>
    <w:qFormat/>
    <w:uiPriority w:val="99"/>
    <w:rPr>
      <w:sz w:val="18"/>
      <w:szCs w:val="18"/>
    </w:rPr>
  </w:style>
  <w:style w:type="paragraph" w:customStyle="1" w:styleId="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8">
    <w:name w:val="标题 1 字符"/>
    <w:basedOn w:val="29"/>
    <w:link w:val="2"/>
    <w:qFormat/>
    <w:uiPriority w:val="9"/>
    <w:rPr>
      <w:rFonts w:ascii="方正小标宋简体" w:hAnsi="方正小标宋简体" w:eastAsia="方正小标宋简体" w:cs="方正小标宋简体"/>
      <w:kern w:val="2"/>
      <w:sz w:val="44"/>
      <w:szCs w:val="44"/>
    </w:rPr>
  </w:style>
  <w:style w:type="character" w:customStyle="1" w:styleId="39">
    <w:name w:val="正文文本缩进 字符"/>
    <w:basedOn w:val="29"/>
    <w:link w:val="15"/>
    <w:qFormat/>
    <w:uiPriority w:val="0"/>
    <w:rPr>
      <w:rFonts w:ascii="宋体" w:hAnsi="宋体" w:cs="宋体" w:eastAsiaTheme="minorEastAsia"/>
      <w:sz w:val="21"/>
      <w:szCs w:val="21"/>
    </w:rPr>
  </w:style>
  <w:style w:type="character" w:customStyle="1" w:styleId="40">
    <w:name w:val="正文文本首行缩进 2 字符"/>
    <w:basedOn w:val="39"/>
    <w:link w:val="26"/>
    <w:qFormat/>
    <w:uiPriority w:val="0"/>
    <w:rPr>
      <w:rFonts w:ascii="宋体" w:hAnsi="宋体" w:cs="宋体" w:eastAsiaTheme="minorEastAsia"/>
      <w:sz w:val="21"/>
      <w:szCs w:val="21"/>
    </w:rPr>
  </w:style>
  <w:style w:type="character" w:customStyle="1" w:styleId="41">
    <w:name w:val="正文文本 字符"/>
    <w:basedOn w:val="29"/>
    <w:link w:val="13"/>
    <w:qFormat/>
    <w:uiPriority w:val="1"/>
    <w:rPr>
      <w:rFonts w:asciiTheme="minorHAnsi" w:hAnsiTheme="minorHAnsi" w:eastAsiaTheme="minorEastAsia" w:cstheme="minorBidi"/>
      <w:kern w:val="2"/>
      <w:sz w:val="32"/>
      <w:szCs w:val="32"/>
    </w:rPr>
  </w:style>
  <w:style w:type="character" w:customStyle="1" w:styleId="42">
    <w:name w:val="批注文字 字符"/>
    <w:basedOn w:val="29"/>
    <w:link w:val="12"/>
    <w:semiHidden/>
    <w:qFormat/>
    <w:uiPriority w:val="99"/>
    <w:rPr>
      <w:rFonts w:asciiTheme="minorHAnsi" w:hAnsiTheme="minorHAnsi" w:eastAsiaTheme="minorEastAsia" w:cstheme="minorBidi"/>
      <w:kern w:val="2"/>
      <w:sz w:val="21"/>
      <w:szCs w:val="22"/>
    </w:rPr>
  </w:style>
  <w:style w:type="character" w:customStyle="1" w:styleId="43">
    <w:name w:val="批注主题 字符"/>
    <w:basedOn w:val="42"/>
    <w:link w:val="24"/>
    <w:semiHidden/>
    <w:qFormat/>
    <w:uiPriority w:val="99"/>
    <w:rPr>
      <w:rFonts w:asciiTheme="minorHAnsi" w:hAnsiTheme="minorHAnsi" w:eastAsiaTheme="minorEastAsia" w:cstheme="minorBidi"/>
      <w:b/>
      <w:bCs/>
      <w:kern w:val="2"/>
      <w:sz w:val="21"/>
      <w:szCs w:val="22"/>
    </w:rPr>
  </w:style>
  <w:style w:type="character" w:customStyle="1" w:styleId="44">
    <w:name w:val="标题 2 字符"/>
    <w:basedOn w:val="29"/>
    <w:link w:val="3"/>
    <w:qFormat/>
    <w:uiPriority w:val="9"/>
    <w:rPr>
      <w:b/>
      <w:bCs/>
      <w:kern w:val="2"/>
      <w:sz w:val="24"/>
      <w:szCs w:val="32"/>
      <w:lang w:val="zh-CN"/>
    </w:rPr>
  </w:style>
  <w:style w:type="character" w:customStyle="1" w:styleId="45">
    <w:name w:val="标题 3 字符"/>
    <w:basedOn w:val="29"/>
    <w:link w:val="4"/>
    <w:qFormat/>
    <w:uiPriority w:val="9"/>
    <w:rPr>
      <w:rFonts w:eastAsia="仿宋_GB2312" w:cstheme="minorBidi"/>
      <w:bCs/>
      <w:kern w:val="2"/>
      <w:sz w:val="30"/>
      <w:szCs w:val="32"/>
    </w:rPr>
  </w:style>
  <w:style w:type="character" w:customStyle="1" w:styleId="46">
    <w:name w:val="标题 4 字符"/>
    <w:basedOn w:val="29"/>
    <w:link w:val="5"/>
    <w:qFormat/>
    <w:uiPriority w:val="9"/>
    <w:rPr>
      <w:rFonts w:asciiTheme="majorHAnsi" w:hAnsiTheme="majorHAnsi" w:eastAsiaTheme="majorEastAsia" w:cstheme="majorBidi"/>
      <w:b/>
      <w:bCs/>
      <w:kern w:val="2"/>
      <w:sz w:val="28"/>
      <w:szCs w:val="28"/>
    </w:rPr>
  </w:style>
  <w:style w:type="character" w:customStyle="1" w:styleId="47">
    <w:name w:val="标题 5 字符"/>
    <w:basedOn w:val="29"/>
    <w:link w:val="6"/>
    <w:qFormat/>
    <w:uiPriority w:val="9"/>
    <w:rPr>
      <w:bCs/>
      <w:kern w:val="2"/>
      <w:sz w:val="24"/>
      <w:szCs w:val="28"/>
      <w:lang w:val="zh-CN"/>
    </w:rPr>
  </w:style>
  <w:style w:type="character" w:customStyle="1" w:styleId="48">
    <w:name w:val="标题 6 字符"/>
    <w:basedOn w:val="29"/>
    <w:link w:val="7"/>
    <w:qFormat/>
    <w:uiPriority w:val="9"/>
    <w:rPr>
      <w:bCs/>
      <w:kern w:val="2"/>
      <w:sz w:val="24"/>
      <w:szCs w:val="24"/>
      <w:lang w:val="zh-CN"/>
    </w:rPr>
  </w:style>
  <w:style w:type="character" w:customStyle="1" w:styleId="49">
    <w:name w:val="标题 7 字符"/>
    <w:basedOn w:val="29"/>
    <w:link w:val="8"/>
    <w:qFormat/>
    <w:uiPriority w:val="9"/>
    <w:rPr>
      <w:bCs/>
      <w:kern w:val="2"/>
      <w:sz w:val="24"/>
      <w:szCs w:val="24"/>
      <w:lang w:val="zh-CN"/>
    </w:rPr>
  </w:style>
  <w:style w:type="character" w:customStyle="1" w:styleId="50">
    <w:name w:val="标题 8 字符"/>
    <w:basedOn w:val="29"/>
    <w:link w:val="9"/>
    <w:qFormat/>
    <w:uiPriority w:val="9"/>
    <w:rPr>
      <w:rFonts w:eastAsia="黑体"/>
      <w:kern w:val="2"/>
      <w:sz w:val="21"/>
      <w:szCs w:val="24"/>
      <w:lang w:val="zh-CN"/>
    </w:rPr>
  </w:style>
  <w:style w:type="character" w:customStyle="1" w:styleId="51">
    <w:name w:val="标题 9 字符"/>
    <w:basedOn w:val="29"/>
    <w:link w:val="10"/>
    <w:qFormat/>
    <w:uiPriority w:val="9"/>
    <w:rPr>
      <w:rFonts w:eastAsia="黑体"/>
      <w:kern w:val="2"/>
      <w:sz w:val="21"/>
      <w:szCs w:val="21"/>
      <w:lang w:val="zh-CN"/>
    </w:rPr>
  </w:style>
  <w:style w:type="character" w:customStyle="1" w:styleId="52">
    <w:name w:val="纯文本 字符"/>
    <w:basedOn w:val="29"/>
    <w:link w:val="17"/>
    <w:qFormat/>
    <w:uiPriority w:val="0"/>
    <w:rPr>
      <w:rFonts w:ascii="宋体" w:hAnsi="Courier New" w:eastAsiaTheme="minorEastAsia" w:cstheme="minorBidi"/>
      <w:kern w:val="2"/>
      <w:sz w:val="21"/>
    </w:rPr>
  </w:style>
  <w:style w:type="character" w:customStyle="1" w:styleId="53">
    <w:name w:val="批注框文本 字符"/>
    <w:basedOn w:val="29"/>
    <w:link w:val="18"/>
    <w:semiHidden/>
    <w:qFormat/>
    <w:uiPriority w:val="99"/>
    <w:rPr>
      <w:rFonts w:asciiTheme="minorHAnsi" w:hAnsiTheme="minorHAnsi" w:eastAsiaTheme="minorEastAsia" w:cstheme="minorBidi"/>
      <w:kern w:val="2"/>
      <w:sz w:val="18"/>
      <w:szCs w:val="18"/>
    </w:rPr>
  </w:style>
  <w:style w:type="paragraph" w:styleId="54">
    <w:name w:val="List Paragraph"/>
    <w:basedOn w:val="1"/>
    <w:qFormat/>
    <w:uiPriority w:val="34"/>
    <w:pPr>
      <w:ind w:firstLine="420" w:firstLineChars="200"/>
    </w:pPr>
  </w:style>
  <w:style w:type="paragraph" w:customStyle="1" w:styleId="55">
    <w:name w:val="formatted"/>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8">
    <w:name w:val="font31"/>
    <w:basedOn w:val="29"/>
    <w:qFormat/>
    <w:uiPriority w:val="0"/>
    <w:rPr>
      <w:rFonts w:ascii="仿宋_GB2312" w:eastAsia="仿宋_GB2312" w:cs="仿宋_GB2312"/>
      <w:color w:val="000000"/>
      <w:sz w:val="22"/>
      <w:szCs w:val="22"/>
      <w:u w:val="none"/>
    </w:rPr>
  </w:style>
  <w:style w:type="character" w:customStyle="1" w:styleId="59">
    <w:name w:val="font21"/>
    <w:basedOn w:val="29"/>
    <w:qFormat/>
    <w:uiPriority w:val="0"/>
    <w:rPr>
      <w:rFonts w:hint="eastAsia" w:ascii="仿宋_GB2312" w:eastAsia="仿宋_GB2312" w:cs="仿宋_GB2312"/>
      <w:color w:val="000000"/>
      <w:sz w:val="24"/>
      <w:szCs w:val="24"/>
      <w:u w:val="none"/>
    </w:rPr>
  </w:style>
  <w:style w:type="character" w:customStyle="1" w:styleId="60">
    <w:name w:val="font11"/>
    <w:basedOn w:val="29"/>
    <w:qFormat/>
    <w:uiPriority w:val="0"/>
    <w:rPr>
      <w:rFonts w:hint="eastAsia" w:ascii="仿宋_GB2312" w:eastAsia="仿宋_GB2312" w:cs="仿宋_GB2312"/>
      <w:color w:val="000000"/>
      <w:sz w:val="22"/>
      <w:szCs w:val="22"/>
      <w:u w:val="none"/>
    </w:rPr>
  </w:style>
  <w:style w:type="character" w:customStyle="1" w:styleId="61">
    <w:name w:val="font41"/>
    <w:basedOn w:val="29"/>
    <w:qFormat/>
    <w:uiPriority w:val="0"/>
    <w:rPr>
      <w:rFonts w:hint="eastAsia" w:ascii="宋体" w:hAnsi="宋体" w:eastAsia="宋体" w:cs="宋体"/>
      <w:color w:val="000000"/>
      <w:sz w:val="22"/>
      <w:szCs w:val="22"/>
      <w:u w:val="none"/>
    </w:rPr>
  </w:style>
  <w:style w:type="character" w:customStyle="1" w:styleId="62">
    <w:name w:val="font01"/>
    <w:basedOn w:val="29"/>
    <w:qFormat/>
    <w:uiPriority w:val="0"/>
    <w:rPr>
      <w:rFonts w:ascii="仿宋_GB2312" w:eastAsia="仿宋_GB2312" w:cs="仿宋_GB2312"/>
      <w:color w:val="000000"/>
      <w:sz w:val="24"/>
      <w:szCs w:val="24"/>
      <w:u w:val="none"/>
    </w:rPr>
  </w:style>
  <w:style w:type="paragraph" w:customStyle="1" w:styleId="63">
    <w:name w:val="TOC 标题1"/>
    <w:basedOn w:val="2"/>
    <w:next w:val="1"/>
    <w:unhideWhenUsed/>
    <w:qFormat/>
    <w:uiPriority w:val="39"/>
    <w:pPr>
      <w:keepNext/>
      <w:keepLines/>
      <w:widowControl/>
      <w:spacing w:before="240" w:line="259" w:lineRule="auto"/>
      <w:ind w:left="4536" w:right="0"/>
      <w:jc w:val="left"/>
      <w:outlineLvl w:val="9"/>
    </w:pPr>
    <w:rPr>
      <w:rFonts w:asciiTheme="majorHAnsi" w:hAnsiTheme="majorHAnsi" w:eastAsiaTheme="majorEastAsia" w:cstheme="majorBidi"/>
      <w:color w:val="2E75B6" w:themeColor="accent1" w:themeShade="BF"/>
      <w:kern w:val="0"/>
      <w:sz w:val="32"/>
      <w:szCs w:val="32"/>
    </w:rPr>
  </w:style>
  <w:style w:type="paragraph" w:customStyle="1" w:styleId="64">
    <w:name w:val="Char Char9"/>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6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7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71">
    <w:name w:val="李岩"/>
    <w:basedOn w:val="2"/>
    <w:link w:val="72"/>
    <w:qFormat/>
    <w:uiPriority w:val="0"/>
    <w:pPr>
      <w:keepNext/>
      <w:keepLines/>
      <w:spacing w:before="240" w:after="120"/>
      <w:ind w:right="0"/>
    </w:pPr>
    <w:rPr>
      <w:rFonts w:ascii="Calibri" w:hAnsi="Calibri" w:eastAsiaTheme="minorEastAsia" w:cstheme="minorBidi"/>
      <w:b/>
      <w:bCs/>
      <w:kern w:val="44"/>
      <w:sz w:val="32"/>
    </w:rPr>
  </w:style>
  <w:style w:type="character" w:customStyle="1" w:styleId="72">
    <w:name w:val="李岩 字符"/>
    <w:basedOn w:val="38"/>
    <w:link w:val="71"/>
    <w:qFormat/>
    <w:uiPriority w:val="0"/>
    <w:rPr>
      <w:rFonts w:ascii="Calibri" w:hAnsi="Calibri" w:eastAsiaTheme="minorEastAsia" w:cstheme="minorBidi"/>
      <w:b/>
      <w:bCs/>
      <w:kern w:val="44"/>
      <w:sz w:val="32"/>
      <w:szCs w:val="44"/>
    </w:rPr>
  </w:style>
  <w:style w:type="paragraph" w:customStyle="1" w:styleId="73">
    <w:name w:val="第一标题"/>
    <w:basedOn w:val="2"/>
    <w:link w:val="74"/>
    <w:qFormat/>
    <w:uiPriority w:val="0"/>
    <w:pPr>
      <w:keepNext/>
      <w:keepLines/>
      <w:pageBreakBefore/>
      <w:spacing w:before="240" w:after="120" w:line="360" w:lineRule="auto"/>
      <w:ind w:right="0"/>
    </w:pPr>
    <w:rPr>
      <w:rFonts w:asciiTheme="minorHAnsi" w:hAnsiTheme="minorHAnsi" w:eastAsiaTheme="minorEastAsia" w:cstheme="minorBidi"/>
      <w:b/>
      <w:bCs/>
      <w:kern w:val="44"/>
      <w:sz w:val="32"/>
      <w:lang w:val="zh-CN"/>
    </w:rPr>
  </w:style>
  <w:style w:type="character" w:customStyle="1" w:styleId="74">
    <w:name w:val="第一标题 字符"/>
    <w:basedOn w:val="38"/>
    <w:link w:val="73"/>
    <w:qFormat/>
    <w:uiPriority w:val="0"/>
    <w:rPr>
      <w:rFonts w:asciiTheme="minorHAnsi" w:hAnsiTheme="minorHAnsi" w:eastAsiaTheme="minorEastAsia" w:cstheme="minorBidi"/>
      <w:b/>
      <w:bCs/>
      <w:kern w:val="44"/>
      <w:sz w:val="32"/>
      <w:szCs w:val="44"/>
      <w:lang w:val="zh-CN"/>
    </w:rPr>
  </w:style>
  <w:style w:type="paragraph" w:customStyle="1" w:styleId="75">
    <w:name w:val="第一标题1"/>
    <w:basedOn w:val="2"/>
    <w:link w:val="76"/>
    <w:qFormat/>
    <w:uiPriority w:val="0"/>
    <w:pPr>
      <w:keepNext/>
      <w:keepLines/>
      <w:spacing w:before="240" w:after="120"/>
      <w:ind w:right="0"/>
    </w:pPr>
    <w:rPr>
      <w:rFonts w:ascii="Calibri" w:hAnsi="Calibri" w:eastAsiaTheme="minorEastAsia" w:cstheme="minorBidi"/>
      <w:b/>
      <w:bCs/>
      <w:kern w:val="44"/>
      <w:sz w:val="32"/>
    </w:rPr>
  </w:style>
  <w:style w:type="character" w:customStyle="1" w:styleId="76">
    <w:name w:val="第一标题1 字符"/>
    <w:basedOn w:val="38"/>
    <w:link w:val="75"/>
    <w:qFormat/>
    <w:uiPriority w:val="0"/>
    <w:rPr>
      <w:rFonts w:ascii="Calibri" w:hAnsi="Calibri" w:eastAsiaTheme="minorEastAsia" w:cstheme="minorBidi"/>
      <w:b/>
      <w:bCs/>
      <w:kern w:val="44"/>
      <w:sz w:val="32"/>
      <w:szCs w:val="44"/>
    </w:rPr>
  </w:style>
  <w:style w:type="paragraph" w:customStyle="1" w:styleId="77">
    <w:name w:val="一级标题ly"/>
    <w:basedOn w:val="2"/>
    <w:link w:val="78"/>
    <w:qFormat/>
    <w:uiPriority w:val="0"/>
    <w:pPr>
      <w:keepNext/>
      <w:keepLines/>
      <w:pageBreakBefore/>
      <w:spacing w:before="240" w:after="120" w:line="360" w:lineRule="auto"/>
      <w:ind w:right="0"/>
    </w:pPr>
    <w:rPr>
      <w:rFonts w:asciiTheme="minorHAnsi" w:hAnsiTheme="minorHAnsi" w:eastAsiaTheme="minorEastAsia" w:cstheme="minorBidi"/>
      <w:b/>
      <w:bCs/>
      <w:kern w:val="44"/>
      <w:sz w:val="32"/>
      <w:lang w:val="zh-CN"/>
    </w:rPr>
  </w:style>
  <w:style w:type="character" w:customStyle="1" w:styleId="78">
    <w:name w:val="一级标题ly 字符"/>
    <w:basedOn w:val="38"/>
    <w:link w:val="77"/>
    <w:qFormat/>
    <w:uiPriority w:val="0"/>
    <w:rPr>
      <w:rFonts w:asciiTheme="minorHAnsi" w:hAnsiTheme="minorHAnsi" w:eastAsiaTheme="minorEastAsia" w:cstheme="minorBidi"/>
      <w:b/>
      <w:bCs/>
      <w:kern w:val="44"/>
      <w:sz w:val="32"/>
      <w:szCs w:val="44"/>
      <w:lang w:val="zh-CN"/>
    </w:rPr>
  </w:style>
  <w:style w:type="paragraph" w:customStyle="1" w:styleId="79">
    <w:name w:val="ly一级标题"/>
    <w:basedOn w:val="2"/>
    <w:link w:val="80"/>
    <w:qFormat/>
    <w:uiPriority w:val="0"/>
    <w:pPr>
      <w:keepNext/>
      <w:keepLines/>
      <w:numPr>
        <w:ilvl w:val="0"/>
        <w:numId w:val="1"/>
      </w:numPr>
      <w:spacing w:before="240" w:after="120"/>
      <w:ind w:right="0" w:firstLine="643"/>
    </w:pPr>
    <w:rPr>
      <w:rFonts w:ascii="Calibri" w:hAnsi="Calibri" w:eastAsiaTheme="minorEastAsia" w:cstheme="majorBidi"/>
      <w:b/>
      <w:bCs/>
      <w:kern w:val="44"/>
      <w:sz w:val="32"/>
    </w:rPr>
  </w:style>
  <w:style w:type="character" w:customStyle="1" w:styleId="80">
    <w:name w:val="ly一级标题 字符"/>
    <w:basedOn w:val="38"/>
    <w:link w:val="79"/>
    <w:qFormat/>
    <w:uiPriority w:val="0"/>
    <w:rPr>
      <w:rFonts w:ascii="Calibri" w:hAnsi="Calibri" w:eastAsiaTheme="minorEastAsia" w:cstheme="majorBidi"/>
      <w:b/>
      <w:bCs/>
      <w:kern w:val="44"/>
      <w:sz w:val="32"/>
      <w:szCs w:val="44"/>
    </w:rPr>
  </w:style>
  <w:style w:type="paragraph" w:customStyle="1" w:styleId="81">
    <w:name w:val="ly二级标题"/>
    <w:basedOn w:val="1"/>
    <w:link w:val="82"/>
    <w:qFormat/>
    <w:uiPriority w:val="0"/>
    <w:pPr>
      <w:numPr>
        <w:ilvl w:val="1"/>
        <w:numId w:val="2"/>
      </w:numPr>
      <w:spacing w:before="156" w:beforeLines="50" w:after="156" w:afterLines="50" w:line="360" w:lineRule="auto"/>
      <w:outlineLvl w:val="1"/>
    </w:pPr>
    <w:rPr>
      <w:rFonts w:ascii="Times New Roman" w:hAnsi="Times New Roman" w:eastAsia="宋体" w:cs="Times New Roman"/>
      <w:b/>
      <w:bCs/>
      <w:sz w:val="30"/>
      <w:szCs w:val="30"/>
      <w:lang w:val="zh-CN"/>
    </w:rPr>
  </w:style>
  <w:style w:type="character" w:customStyle="1" w:styleId="82">
    <w:name w:val="ly二级标题 字符"/>
    <w:basedOn w:val="29"/>
    <w:link w:val="81"/>
    <w:qFormat/>
    <w:uiPriority w:val="0"/>
    <w:rPr>
      <w:b/>
      <w:bCs/>
      <w:kern w:val="2"/>
      <w:sz w:val="30"/>
      <w:szCs w:val="30"/>
      <w:lang w:val="zh-CN"/>
    </w:rPr>
  </w:style>
  <w:style w:type="paragraph" w:customStyle="1" w:styleId="83">
    <w:name w:val="ly正文"/>
    <w:basedOn w:val="1"/>
    <w:link w:val="84"/>
    <w:qFormat/>
    <w:uiPriority w:val="0"/>
    <w:pPr>
      <w:spacing w:line="420" w:lineRule="exact"/>
      <w:ind w:firstLine="480" w:firstLineChars="200"/>
    </w:pPr>
    <w:rPr>
      <w:rFonts w:ascii="Times New Roman" w:hAnsi="Times New Roman" w:eastAsia="宋体" w:cs="Times New Roman"/>
      <w:sz w:val="24"/>
      <w:szCs w:val="32"/>
      <w:lang w:val="zh-CN"/>
    </w:rPr>
  </w:style>
  <w:style w:type="character" w:customStyle="1" w:styleId="84">
    <w:name w:val="ly正文 字符"/>
    <w:basedOn w:val="29"/>
    <w:link w:val="83"/>
    <w:qFormat/>
    <w:uiPriority w:val="0"/>
    <w:rPr>
      <w:kern w:val="2"/>
      <w:sz w:val="24"/>
      <w:szCs w:val="32"/>
      <w:lang w:val="zh-CN"/>
    </w:rPr>
  </w:style>
  <w:style w:type="paragraph" w:customStyle="1" w:styleId="85">
    <w:name w:val="样式1"/>
    <w:basedOn w:val="81"/>
    <w:link w:val="86"/>
    <w:qFormat/>
    <w:uiPriority w:val="0"/>
    <w:pPr>
      <w:numPr>
        <w:numId w:val="3"/>
      </w:numPr>
      <w:tabs>
        <w:tab w:val="left" w:pos="1440"/>
      </w:tabs>
      <w:jc w:val="left"/>
    </w:pPr>
  </w:style>
  <w:style w:type="character" w:customStyle="1" w:styleId="86">
    <w:name w:val="样式1 字符"/>
    <w:basedOn w:val="82"/>
    <w:link w:val="85"/>
    <w:qFormat/>
    <w:uiPriority w:val="0"/>
    <w:rPr>
      <w:kern w:val="2"/>
      <w:sz w:val="30"/>
      <w:szCs w:val="30"/>
      <w:lang w:val="zh-CN"/>
    </w:rPr>
  </w:style>
  <w:style w:type="paragraph" w:customStyle="1" w:styleId="87">
    <w:name w:val="二级标题"/>
    <w:basedOn w:val="1"/>
    <w:link w:val="88"/>
    <w:qFormat/>
    <w:uiPriority w:val="0"/>
    <w:pPr>
      <w:spacing w:before="156" w:beforeLines="50" w:after="156" w:afterLines="50" w:line="360" w:lineRule="auto"/>
      <w:outlineLvl w:val="1"/>
    </w:pPr>
    <w:rPr>
      <w:rFonts w:ascii="Times New Roman" w:hAnsi="Times New Roman" w:eastAsia="宋体" w:cstheme="majorBidi"/>
      <w:b/>
      <w:bCs/>
      <w:sz w:val="30"/>
      <w:szCs w:val="30"/>
      <w:lang w:val="zh-CN"/>
    </w:rPr>
  </w:style>
  <w:style w:type="character" w:customStyle="1" w:styleId="88">
    <w:name w:val="二级标题 字符"/>
    <w:basedOn w:val="29"/>
    <w:link w:val="87"/>
    <w:qFormat/>
    <w:uiPriority w:val="0"/>
    <w:rPr>
      <w:rFonts w:cstheme="majorBidi"/>
      <w:b/>
      <w:bCs/>
      <w:kern w:val="2"/>
      <w:sz w:val="30"/>
      <w:szCs w:val="30"/>
      <w:lang w:val="zh-CN"/>
    </w:rPr>
  </w:style>
  <w:style w:type="paragraph" w:customStyle="1" w:styleId="89">
    <w:name w:val="三级标题"/>
    <w:basedOn w:val="4"/>
    <w:link w:val="90"/>
    <w:qFormat/>
    <w:uiPriority w:val="0"/>
    <w:pPr>
      <w:keepLines w:val="0"/>
      <w:spacing w:before="50" w:line="240" w:lineRule="auto"/>
    </w:pPr>
    <w:rPr>
      <w:rFonts w:eastAsia="黑体" w:cstheme="majorBidi"/>
      <w:b/>
      <w:sz w:val="24"/>
      <w:szCs w:val="24"/>
      <w:lang w:val="zh-CN"/>
    </w:rPr>
  </w:style>
  <w:style w:type="character" w:customStyle="1" w:styleId="90">
    <w:name w:val="三级标题 字符"/>
    <w:basedOn w:val="45"/>
    <w:link w:val="89"/>
    <w:qFormat/>
    <w:uiPriority w:val="0"/>
    <w:rPr>
      <w:rFonts w:eastAsia="黑体" w:cstheme="majorBidi"/>
      <w:b/>
      <w:kern w:val="2"/>
      <w:sz w:val="24"/>
      <w:szCs w:val="24"/>
      <w:lang w:val="zh-CN"/>
    </w:rPr>
  </w:style>
  <w:style w:type="paragraph" w:customStyle="1" w:styleId="91">
    <w:name w:val="ly三级标题"/>
    <w:basedOn w:val="4"/>
    <w:link w:val="92"/>
    <w:qFormat/>
    <w:uiPriority w:val="0"/>
    <w:pPr>
      <w:keepLines w:val="0"/>
      <w:numPr>
        <w:ilvl w:val="2"/>
        <w:numId w:val="3"/>
      </w:numPr>
      <w:spacing w:before="50" w:line="240" w:lineRule="auto"/>
    </w:pPr>
    <w:rPr>
      <w:rFonts w:eastAsia="黑体" w:cstheme="majorBidi"/>
      <w:b/>
      <w:sz w:val="24"/>
      <w:szCs w:val="24"/>
      <w:lang w:val="zh-CN"/>
    </w:rPr>
  </w:style>
  <w:style w:type="character" w:customStyle="1" w:styleId="92">
    <w:name w:val="ly三级标题 字符"/>
    <w:basedOn w:val="45"/>
    <w:link w:val="91"/>
    <w:qFormat/>
    <w:uiPriority w:val="0"/>
    <w:rPr>
      <w:rFonts w:eastAsia="黑体" w:cstheme="majorBidi"/>
      <w:b/>
      <w:kern w:val="2"/>
      <w:sz w:val="24"/>
      <w:szCs w:val="24"/>
      <w:lang w:val="zh-CN"/>
    </w:rPr>
  </w:style>
  <w:style w:type="paragraph" w:customStyle="1" w:styleId="93">
    <w:name w:val="ly四级标题"/>
    <w:basedOn w:val="5"/>
    <w:link w:val="94"/>
    <w:qFormat/>
    <w:uiPriority w:val="0"/>
    <w:pPr>
      <w:keepNext w:val="0"/>
      <w:keepLines w:val="0"/>
      <w:numPr>
        <w:ilvl w:val="0"/>
        <w:numId w:val="3"/>
      </w:numPr>
      <w:spacing w:before="156" w:beforeLines="50" w:after="0" w:line="360" w:lineRule="exact"/>
      <w:ind w:left="900" w:hanging="420"/>
    </w:pPr>
    <w:rPr>
      <w:rFonts w:eastAsia="黑体"/>
      <w:b w:val="0"/>
      <w:sz w:val="24"/>
      <w:lang w:val="zh-CN"/>
    </w:rPr>
  </w:style>
  <w:style w:type="character" w:customStyle="1" w:styleId="94">
    <w:name w:val="ly四级标题 字符"/>
    <w:basedOn w:val="46"/>
    <w:link w:val="93"/>
    <w:qFormat/>
    <w:uiPriority w:val="0"/>
    <w:rPr>
      <w:rFonts w:eastAsia="黑体" w:asciiTheme="majorHAnsi" w:hAnsiTheme="majorHAnsi" w:cstheme="majorBidi"/>
      <w:b w:val="0"/>
      <w:kern w:val="2"/>
      <w:sz w:val="24"/>
      <w:szCs w:val="28"/>
      <w:lang w:val="zh-CN"/>
    </w:rPr>
  </w:style>
  <w:style w:type="paragraph" w:customStyle="1" w:styleId="95">
    <w:name w:val="font6"/>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96">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97">
    <w:name w:val="font8"/>
    <w:basedOn w:val="1"/>
    <w:qFormat/>
    <w:uiPriority w:val="0"/>
    <w:pPr>
      <w:widowControl/>
      <w:spacing w:before="100" w:beforeAutospacing="1" w:after="100" w:afterAutospacing="1"/>
      <w:jc w:val="left"/>
    </w:pPr>
    <w:rPr>
      <w:rFonts w:ascii="仿宋_GB2312" w:hAnsi="宋体" w:eastAsia="仿宋_GB2312" w:cs="宋体"/>
      <w:b/>
      <w:bCs/>
      <w:color w:val="000000"/>
      <w:kern w:val="0"/>
      <w:sz w:val="20"/>
      <w:szCs w:val="20"/>
    </w:rPr>
  </w:style>
  <w:style w:type="paragraph" w:customStyle="1" w:styleId="98">
    <w:name w:val="font9"/>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99">
    <w:name w:val="font10"/>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100">
    <w:name w:val="font12"/>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1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0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0"/>
      <w:szCs w:val="20"/>
    </w:rPr>
  </w:style>
  <w:style w:type="paragraph" w:customStyle="1" w:styleId="10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0"/>
      <w:szCs w:val="20"/>
    </w:rPr>
  </w:style>
  <w:style w:type="paragraph" w:customStyle="1" w:styleId="10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0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color w:val="000000"/>
      <w:kern w:val="0"/>
      <w:sz w:val="20"/>
      <w:szCs w:val="20"/>
    </w:rPr>
  </w:style>
  <w:style w:type="paragraph" w:customStyle="1" w:styleId="10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0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0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color w:val="000000"/>
      <w:kern w:val="0"/>
      <w:sz w:val="20"/>
      <w:szCs w:val="20"/>
    </w:rPr>
  </w:style>
  <w:style w:type="paragraph" w:customStyle="1" w:styleId="10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0">
    <w:name w:val="xl77"/>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11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2">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5">
    <w:name w:val="xl82"/>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116">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7">
    <w:name w:val="xl84"/>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8">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19">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0">
    <w:name w:val="xl87"/>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1">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2">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23">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24">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25">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26">
    <w:name w:val="xl9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27">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宋体" w:cs="Times New Roman"/>
      <w:b/>
      <w:bCs/>
      <w:color w:val="000000"/>
      <w:kern w:val="0"/>
      <w:sz w:val="20"/>
      <w:szCs w:val="20"/>
    </w:rPr>
  </w:style>
  <w:style w:type="paragraph" w:customStyle="1" w:styleId="128">
    <w:name w:val="xl95"/>
    <w:basedOn w:val="1"/>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eastAsia="宋体" w:cs="Times New Roman"/>
      <w:b/>
      <w:bCs/>
      <w:color w:val="000000"/>
      <w:kern w:val="0"/>
      <w:sz w:val="20"/>
      <w:szCs w:val="20"/>
    </w:rPr>
  </w:style>
  <w:style w:type="paragraph" w:customStyle="1" w:styleId="129">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color w:val="000000"/>
      <w:kern w:val="0"/>
      <w:sz w:val="20"/>
      <w:szCs w:val="20"/>
    </w:rPr>
  </w:style>
  <w:style w:type="paragraph" w:customStyle="1" w:styleId="130">
    <w:name w:val="xl97"/>
    <w:basedOn w:val="1"/>
    <w:qFormat/>
    <w:uiPriority w:val="0"/>
    <w:pPr>
      <w:widowControl/>
      <w:pBdr>
        <w:top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31">
    <w:name w:val="xl98"/>
    <w:basedOn w:val="1"/>
    <w:qFormat/>
    <w:uiPriority w:val="0"/>
    <w:pPr>
      <w:widowControl/>
      <w:pBdr>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32">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133">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134">
    <w:name w:val="font13"/>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135">
    <w:name w:val="font14"/>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36">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3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5121</Words>
  <Characters>5616</Characters>
  <Lines>134</Lines>
  <Paragraphs>38</Paragraphs>
  <TotalTime>0</TotalTime>
  <ScaleCrop>false</ScaleCrop>
  <LinksUpToDate>false</LinksUpToDate>
  <CharactersWithSpaces>5640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2025-04-13T17:14:00Z</dcterms:created>
  <dc:creator>李炜玮</dc:creator>
  <cp:lastModifiedBy>张新桂</cp:lastModifiedBy>
  <cp:lastPrinted>2025-05-26T07:47:00Z</cp:lastPrinted>
  <dcterms:modified xsi:type="dcterms:W3CDTF">2025-11-27T07:28:55Z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5C093F30A8014721A61745C9DB843869_13</vt:lpwstr>
  </property>
  <property fmtid="{D5CDD505-2E9C-101B-9397-08002B2CF9AE}" pid="4" name="KSOTemplateDocerSaveRecord">
    <vt:lpwstr>eyJoZGlkIjoiNjc1ZGMyYzA1MjhjZjMyOTFlNGEwMjczMzQwY2IyZDAiLCJ1c2VySWQiOiI2NTIzODIwNzIifQ==</vt:lpwstr>
  </property>
</Properties>
</file>