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泰兴市QC小组活动成果发表评审表</w:t>
      </w:r>
    </w:p>
    <w:p>
      <w:pPr>
        <w:spacing w:line="300" w:lineRule="exact"/>
        <w:rPr>
          <w:rFonts w:hint="eastAsia" w:ascii="方正仿宋_GBK" w:hAnsi="宋体" w:eastAsia="方正仿宋_GBK"/>
          <w:bCs/>
          <w:sz w:val="24"/>
          <w:u w:val="single"/>
        </w:rPr>
      </w:pPr>
      <w:r>
        <w:rPr>
          <w:rFonts w:hint="eastAsia" w:ascii="方正仿宋_GBK" w:hAnsi="宋体" w:eastAsia="方正仿宋_GBK"/>
          <w:bCs/>
          <w:sz w:val="24"/>
        </w:rPr>
        <w:t>小组名称：</w:t>
      </w:r>
      <w:r>
        <w:rPr>
          <w:rFonts w:hint="eastAsia" w:ascii="方正仿宋_GBK" w:hAnsi="宋体" w:eastAsia="方正仿宋_GBK"/>
          <w:bCs/>
          <w:sz w:val="24"/>
          <w:u w:val="single"/>
        </w:rPr>
        <w:t xml:space="preserve">                         </w:t>
      </w:r>
      <w:r>
        <w:rPr>
          <w:rFonts w:hint="eastAsia" w:ascii="方正仿宋_GBK" w:hAnsi="宋体" w:eastAsia="方正仿宋_GBK"/>
          <w:sz w:val="24"/>
        </w:rPr>
        <w:t xml:space="preserve">           </w:t>
      </w:r>
      <w:r>
        <w:rPr>
          <w:rFonts w:hint="eastAsia" w:ascii="方正仿宋_GBK" w:hAnsi="宋体" w:eastAsia="方正仿宋_GBK"/>
          <w:bCs/>
          <w:sz w:val="24"/>
        </w:rPr>
        <w:t xml:space="preserve">     编号：</w:t>
      </w:r>
      <w:r>
        <w:rPr>
          <w:rFonts w:hint="eastAsia" w:ascii="方正仿宋_GBK" w:hAnsi="宋体" w:eastAsia="方正仿宋_GBK"/>
          <w:bCs/>
          <w:sz w:val="24"/>
          <w:u w:val="single"/>
        </w:rPr>
        <w:t xml:space="preserve">                </w:t>
      </w:r>
    </w:p>
    <w:tbl>
      <w:tblPr>
        <w:tblStyle w:val="2"/>
        <w:tblW w:w="9581" w:type="dxa"/>
        <w:tblInd w:w="-2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56"/>
        <w:gridCol w:w="4228"/>
        <w:gridCol w:w="2186"/>
        <w:gridCol w:w="818"/>
        <w:gridCol w:w="11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课题名称</w:t>
            </w:r>
          </w:p>
        </w:tc>
        <w:tc>
          <w:tcPr>
            <w:tcW w:w="42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21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单位名称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评审项目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评  审  内  容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配 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得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选题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567" w:hanging="564" w:hangingChars="235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（1）所选课题应与上级方针目标相结合，或是本小组现场急需解决的问题；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（2）课题名称要简洁明确地直接针对所存在的问题；</w:t>
            </w:r>
          </w:p>
          <w:p>
            <w:pPr>
              <w:spacing w:line="260" w:lineRule="exact"/>
              <w:ind w:left="599" w:hanging="595" w:hangingChars="248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（3）现状已清楚掌握，数据充分，并通过分析已明确问题的症结所在；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（4）现状已为</w:t>
            </w:r>
            <w:r>
              <w:rPr>
                <w:rFonts w:hint="eastAsia" w:ascii="方正仿宋_GBK" w:hAnsi="仿宋" w:eastAsia="方正仿宋_GBK"/>
                <w:sz w:val="24"/>
                <w:lang w:eastAsia="zh-CN"/>
              </w:rPr>
              <w:t>制定目标</w:t>
            </w:r>
            <w:r>
              <w:rPr>
                <w:rFonts w:hint="eastAsia" w:ascii="方正仿宋_GBK" w:hAnsi="仿宋" w:eastAsia="方正仿宋_GBK"/>
                <w:sz w:val="24"/>
              </w:rPr>
              <w:t>提供了依据；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（5）目标设定不要过多，并有量化的目标值和有一定依据。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8-15分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原因分析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（1）针对问题的症结来分析原因，因果关系要明确、清楚；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（2）原因要分析透彻，一直分析到可直接采取对策的程度；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（3）主要原因要从末端因素中选取；</w:t>
            </w:r>
          </w:p>
          <w:p>
            <w:pPr>
              <w:spacing w:line="260" w:lineRule="exact"/>
              <w:ind w:left="577" w:leftChars="-4" w:hanging="585" w:hangingChars="244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（4）应对所有末端因素都进行要因确认，并且</w:t>
            </w:r>
            <w:r>
              <w:rPr>
                <w:rFonts w:hint="eastAsia" w:ascii="方正仿宋_GBK" w:hAnsi="仿宋" w:eastAsia="方正仿宋_GBK"/>
                <w:sz w:val="24"/>
                <w:lang w:eastAsia="zh-CN"/>
              </w:rPr>
              <w:t>使用</w:t>
            </w:r>
            <w:r>
              <w:rPr>
                <w:rFonts w:hint="eastAsia" w:ascii="方正仿宋_GBK" w:hAnsi="仿宋" w:eastAsia="方正仿宋_GBK"/>
                <w:sz w:val="24"/>
              </w:rPr>
              <w:t>数据事实客观地证明确是主要原因；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（5）工具运用正确、适宜。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13-20分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对策与实施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（1）应针对所确定的主要原因，逐条制订对策；</w:t>
            </w:r>
          </w:p>
          <w:p>
            <w:pPr>
              <w:spacing w:line="260" w:lineRule="exact"/>
              <w:ind w:left="569" w:leftChars="-10" w:hanging="590" w:hangingChars="246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（2）对策应按“５Ｗ１Ｈ”的原则制订，每条对策在实施后都能检查是否已完成（达到目标）及有无效果；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（3）要按对策表逐条实施，且实施后的结果都有所</w:t>
            </w:r>
            <w:r>
              <w:rPr>
                <w:rFonts w:hint="eastAsia" w:ascii="方正仿宋_GBK" w:hAnsi="仿宋" w:eastAsia="方正仿宋_GBK"/>
                <w:sz w:val="24"/>
                <w:lang w:eastAsia="zh-CN"/>
              </w:rPr>
              <w:t>交代</w:t>
            </w:r>
            <w:r>
              <w:rPr>
                <w:rFonts w:hint="eastAsia" w:ascii="方正仿宋_GBK" w:hAnsi="仿宋" w:eastAsia="方正仿宋_GBK"/>
                <w:sz w:val="24"/>
              </w:rPr>
              <w:t>；</w:t>
            </w:r>
          </w:p>
          <w:p>
            <w:pPr>
              <w:spacing w:line="260" w:lineRule="exact"/>
              <w:ind w:left="551" w:hanging="547" w:hangingChars="228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（4）大部分的对策是由本组成员来实施的，遇到困难能努力克服；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（5）工具运用正确、适宜。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15-25分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效果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（1）取得效果后与原状比较，确认其改进的有效性，</w:t>
            </w:r>
          </w:p>
          <w:p>
            <w:pPr>
              <w:spacing w:line="260" w:lineRule="exact"/>
              <w:ind w:firstLine="612" w:firstLineChars="255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与所制订的目标比较，看其是否已达到；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（2）取得经济效益的计算实事求是、无夸大；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（3）已注意了对无形效果的评价；</w:t>
            </w:r>
          </w:p>
          <w:p>
            <w:pPr>
              <w:spacing w:line="260" w:lineRule="exact"/>
              <w:ind w:left="567" w:hanging="564" w:hangingChars="235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（4）改进后的有效方法和措施已纳入有关标准，并按新标准实施；</w:t>
            </w:r>
          </w:p>
          <w:p>
            <w:pPr>
              <w:spacing w:line="260" w:lineRule="exact"/>
              <w:ind w:left="551" w:hanging="547" w:hangingChars="228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（5）改进后的效果能维持、巩固在良好的水准，并用图表表示出巩固期的数据。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13-20分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发表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（1）发表资料要系统分明，前后连贯逻辑性好；</w:t>
            </w:r>
          </w:p>
          <w:p>
            <w:pPr>
              <w:spacing w:line="260" w:lineRule="exact"/>
              <w:ind w:left="483" w:hanging="480" w:hangingChars="200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（2）发表资料应以图、表、数据为主，避免通篇文字、照本宣读；</w:t>
            </w:r>
          </w:p>
          <w:p>
            <w:pPr>
              <w:spacing w:line="260" w:lineRule="exact"/>
              <w:ind w:left="534" w:hanging="530" w:hangingChars="221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（3）发表资料要通俗易懂，不用专业性较强的词句和内容，在不可避免时予以深入浅出的解释；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（4）发表时要从容大方，有礼貌地讲成果，使用普通话；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（5）回答提问时诚恳、简要、不强辩；</w:t>
            </w:r>
          </w:p>
          <w:p>
            <w:pPr>
              <w:spacing w:line="260" w:lineRule="exact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（6）发表时间是否超过10分钟。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13-20分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评委姓名</w:t>
            </w: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总分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仿宋" w:eastAsia="方正仿宋_GBK"/>
                <w:sz w:val="24"/>
              </w:rPr>
            </w:pPr>
          </w:p>
        </w:tc>
      </w:tr>
    </w:tbl>
    <w:p>
      <w:pPr>
        <w:rPr>
          <w:rFonts w:hint="eastAsia" w:ascii="方正黑体_GBK" w:hAnsi="黑体" w:eastAsia="方正黑体_GBK"/>
          <w:sz w:val="30"/>
        </w:rPr>
      </w:pPr>
    </w:p>
    <w:p>
      <w:pPr>
        <w:rPr>
          <w:rFonts w:hint="eastAsia" w:ascii="方正黑体_GBK" w:hAnsi="黑体" w:eastAsia="方正黑体_GBK"/>
          <w:sz w:val="30"/>
        </w:rPr>
      </w:pPr>
    </w:p>
    <w:p>
      <w:pPr>
        <w:rPr>
          <w:rFonts w:hint="eastAsia" w:ascii="方正黑体_GBK" w:hAnsi="黑体" w:eastAsia="方正黑体_GBK"/>
          <w:sz w:val="30"/>
        </w:rPr>
      </w:pPr>
      <w:r>
        <w:rPr>
          <w:rFonts w:hint="eastAsia" w:ascii="方正黑体_GBK" w:hAnsi="黑体" w:eastAsia="方正黑体_GBK"/>
          <w:sz w:val="30"/>
        </w:rPr>
        <w:t>附件3</w:t>
      </w: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会议地点地图及会务提醒</w:t>
      </w:r>
    </w:p>
    <w:p>
      <w:pPr>
        <w:spacing w:line="480" w:lineRule="exact"/>
        <w:ind w:left="1050" w:leftChars="100" w:right="210" w:rightChars="100" w:hanging="840" w:hangingChars="3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ind w:left="1050" w:leftChars="100" w:right="210" w:rightChars="100" w:hanging="840" w:hangingChars="3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614035" cy="3491230"/>
            <wp:effectExtent l="0" t="0" r="5715" b="13970"/>
            <wp:docPr id="2" name="图片 1" descr="166115574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61155745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left="1050" w:leftChars="100" w:right="210" w:rightChars="100" w:hanging="840" w:hangingChars="3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上图中</w:t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259080" cy="281940"/>
            <wp:effectExtent l="0" t="0" r="7620" b="3810"/>
            <wp:docPr id="1" name="图片 2" descr="166115655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11565584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>为会议地点。</w:t>
      </w:r>
    </w:p>
    <w:p>
      <w:pPr>
        <w:spacing w:line="480" w:lineRule="exact"/>
        <w:ind w:left="1535" w:leftChars="100" w:right="210" w:rightChars="100" w:hanging="1325" w:hangingChars="300"/>
        <w:jc w:val="left"/>
        <w:rPr>
          <w:rFonts w:hint="eastAsia" w:ascii="宋体" w:hAnsi="宋体"/>
          <w:b/>
          <w:sz w:val="44"/>
          <w:szCs w:val="44"/>
        </w:rPr>
      </w:pPr>
    </w:p>
    <w:p>
      <w:pPr>
        <w:spacing w:line="480" w:lineRule="exact"/>
        <w:ind w:left="1174" w:leftChars="100" w:right="210" w:rightChars="100" w:hanging="964" w:hangingChars="300"/>
        <w:jc w:val="lef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b/>
          <w:sz w:val="32"/>
          <w:szCs w:val="32"/>
        </w:rPr>
        <w:t>会务提醒：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20" w:firstLineChars="100"/>
        <w:jc w:val="left"/>
        <w:textAlignment w:val="auto"/>
        <w:rPr>
          <w:rFonts w:hint="eastAsia" w:ascii="方正仿宋_GBK" w:hAnsi="仿宋" w:eastAsia="方正仿宋_GBK" w:cs="仿宋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 w:cs="仿宋"/>
          <w:sz w:val="32"/>
          <w:szCs w:val="32"/>
        </w:rPr>
        <w:t>1、会场周围停车较难，开车前往请安排好时间，以免</w:t>
      </w:r>
      <w:r>
        <w:rPr>
          <w:rFonts w:hint="eastAsia" w:ascii="方正仿宋_GBK" w:hAnsi="仿宋" w:eastAsia="方正仿宋_GBK" w:cs="仿宋"/>
          <w:sz w:val="32"/>
          <w:szCs w:val="32"/>
          <w:lang w:eastAsia="zh-CN"/>
        </w:rPr>
        <w:t>迟</w:t>
      </w:r>
      <w:r>
        <w:rPr>
          <w:rFonts w:hint="eastAsia" w:ascii="方正仿宋_GBK" w:hAnsi="仿宋" w:eastAsia="方正仿宋_GBK" w:cs="仿宋"/>
          <w:sz w:val="32"/>
          <w:szCs w:val="32"/>
        </w:rPr>
        <w:t>到。</w:t>
      </w:r>
    </w:p>
    <w:p>
      <w:pPr>
        <w:spacing w:line="480" w:lineRule="exact"/>
        <w:ind w:left="1170" w:leftChars="100" w:right="210" w:rightChars="100" w:hanging="960" w:hangingChars="300"/>
        <w:jc w:val="lef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2、进入会场时须上传本人当日健康码行程卡。</w:t>
      </w:r>
    </w:p>
    <w:p>
      <w:pPr>
        <w:spacing w:line="480" w:lineRule="exact"/>
        <w:ind w:left="1170" w:leftChars="100" w:right="210" w:rightChars="100" w:hanging="960" w:hangingChars="300"/>
        <w:jc w:val="lef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3、会场提供电脑，需要使用翻页笔的请自备。</w:t>
      </w:r>
    </w:p>
    <w:p>
      <w:pPr>
        <w:spacing w:line="480" w:lineRule="exact"/>
        <w:ind w:left="1170" w:leftChars="100" w:right="210" w:rightChars="100" w:hanging="960" w:hangingChars="300"/>
        <w:jc w:val="lef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4、发布人着正式服装参加发布。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WY0Y2JjNWMxYmQ2M2JmMWY0NTE5ZDZjZjA5OGIifQ=="/>
  </w:docVars>
  <w:rsids>
    <w:rsidRoot w:val="087065E0"/>
    <w:rsid w:val="087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2022-08-23T07:45:00Z</dcterms:created>
  <dc:creator>四叶草</dc:creator>
  <cp:lastModifiedBy>四叶草</cp:lastModifiedBy>
  <dcterms:modified xsi:type="dcterms:W3CDTF">2022-08-23T07:46:05Z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875C9EA15856486ABF8C4AF1FEDE41B9</vt:lpwstr>
  </property>
</Properties>
</file>