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仿宋_GB2312" w:cs="Times New Roman"/>
          <w:color w:val="auto"/>
          <w:kern w:val="2"/>
          <w:sz w:val="32"/>
          <w:szCs w:val="32"/>
          <w:lang w:val="en-US" w:eastAsia="zh-CN" w:bidi="ar-SA"/>
        </w:rPr>
      </w:pPr>
      <w:bookmarkStart w:id="0" w:name="_GoBack"/>
      <w:bookmarkEnd w:id="0"/>
      <w:r>
        <w:rPr>
          <w:rFonts w:hint="eastAsia" w:ascii="黑体" w:hAnsi="黑体" w:eastAsia="黑体" w:cs="黑体"/>
          <w:color w:val="auto"/>
          <w:kern w:val="2"/>
          <w:sz w:val="32"/>
          <w:szCs w:val="32"/>
          <w:lang w:val="en-US" w:eastAsia="zh-CN" w:bidi="ar-SA"/>
        </w:rPr>
        <w:t>附件</w:t>
      </w:r>
      <w:r>
        <w:rPr>
          <w:rFonts w:hint="eastAsia" w:ascii="Times New Roman" w:hAnsi="Times New Roman" w:eastAsia="仿宋_GB2312" w:cs="Times New Roman"/>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市领导牵头优化营商环境重点任务清单</w:t>
      </w:r>
    </w:p>
    <w:tbl>
      <w:tblPr>
        <w:tblStyle w:val="10"/>
        <w:tblW w:w="1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555"/>
        <w:gridCol w:w="5700"/>
        <w:gridCol w:w="1815"/>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序号</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重点任务及主要目标</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主要内容</w:t>
            </w:r>
          </w:p>
        </w:tc>
        <w:tc>
          <w:tcPr>
            <w:tcW w:w="181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牵头领导</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b w:val="0"/>
                <w:bCs w:val="0"/>
                <w:color w:val="auto"/>
                <w:sz w:val="24"/>
                <w:szCs w:val="24"/>
                <w:lang w:val="en-US" w:eastAsia="zh-CN"/>
              </w:rPr>
              <w:t>扎实推进综窗改革，提供更多的“一窗式”服务</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仿宋_GB2312" w:hAnsi="仿宋_GB2312" w:eastAsia="仿宋_GB2312" w:cs="仿宋_GB2312"/>
                <w:color w:val="auto"/>
                <w:sz w:val="24"/>
                <w:szCs w:val="24"/>
                <w:lang w:val="en-US" w:eastAsia="zh-CN"/>
              </w:rPr>
              <w:t>深入推进市场准入、不动产登记一窗综合改革；</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微软雅黑" w:hAnsi="微软雅黑" w:eastAsia="微软雅黑" w:cs="微软雅黑"/>
                <w:color w:val="auto"/>
                <w:spacing w:val="-11"/>
                <w:sz w:val="24"/>
                <w:szCs w:val="24"/>
                <w:lang w:val="en-US" w:eastAsia="zh-CN"/>
              </w:rPr>
              <w:t>②</w:t>
            </w:r>
            <w:r>
              <w:rPr>
                <w:rFonts w:hint="eastAsia" w:ascii="仿宋_GB2312" w:hAnsi="仿宋_GB2312" w:eastAsia="仿宋_GB2312" w:cs="仿宋_GB2312"/>
                <w:color w:val="auto"/>
                <w:sz w:val="24"/>
                <w:szCs w:val="24"/>
                <w:lang w:val="en-US" w:eastAsia="zh-CN"/>
              </w:rPr>
              <w:t>在医保分中心和滨江镇为民服务中心实现“综窗式”实质化运行。</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刘  辉</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市</w:t>
            </w:r>
            <w:r>
              <w:rPr>
                <w:rFonts w:hint="default" w:ascii="仿宋_GB2312" w:hAnsi="仿宋_GB2312" w:eastAsia="仿宋_GB2312" w:cs="仿宋_GB2312"/>
                <w:color w:val="auto"/>
                <w:sz w:val="24"/>
                <w:szCs w:val="24"/>
                <w:lang w:val="en-US" w:eastAsia="zh-CN"/>
              </w:rPr>
              <w:t>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pacing w:val="-6"/>
                <w:sz w:val="24"/>
                <w:szCs w:val="24"/>
                <w:vertAlign w:val="baseline"/>
                <w:lang w:val="en-US" w:eastAsia="zh-CN"/>
              </w:rPr>
              <w:t>加强工程建设项目管理和服务，提升工程建设项目审批服务效能</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①</w:t>
            </w:r>
            <w:r>
              <w:rPr>
                <w:rFonts w:hint="eastAsia" w:ascii="仿宋_GB2312" w:hAnsi="仿宋_GB2312" w:eastAsia="仿宋_GB2312" w:cs="仿宋_GB2312"/>
                <w:color w:val="auto"/>
                <w:kern w:val="2"/>
                <w:sz w:val="24"/>
                <w:szCs w:val="24"/>
                <w:lang w:val="en-US" w:eastAsia="zh-CN" w:bidi="ar-SA"/>
              </w:rPr>
              <w:t>制定工程项目建设全生命周期管理办法和建筑工程施工许可证核发与工程质量安全监督手续合并办理指南；</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微软雅黑" w:hAnsi="微软雅黑" w:eastAsia="微软雅黑" w:cs="微软雅黑"/>
                <w:color w:val="auto"/>
                <w:sz w:val="24"/>
                <w:szCs w:val="24"/>
                <w:lang w:val="en-US" w:eastAsia="zh-CN"/>
              </w:rPr>
              <w:t>②</w:t>
            </w:r>
            <w:r>
              <w:rPr>
                <w:rFonts w:hint="eastAsia" w:ascii="仿宋_GB2312" w:hAnsi="仿宋_GB2312" w:eastAsia="仿宋_GB2312" w:cs="仿宋_GB2312"/>
                <w:color w:val="auto"/>
                <w:kern w:val="2"/>
                <w:sz w:val="24"/>
                <w:szCs w:val="24"/>
                <w:lang w:val="en-US" w:eastAsia="zh-CN" w:bidi="ar-SA"/>
              </w:rPr>
              <w:t>设立建筑工程施工许可综合受理专区，统一收件、发件，同步咨询，同时出具《建筑工程施工许可证》《建设工程质量监督通知书》和《建设工程施工安全认可证》，解决多头跑动、多头提交的难题。</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孙红东</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市</w:t>
            </w:r>
            <w:r>
              <w:rPr>
                <w:rFonts w:hint="default" w:ascii="仿宋_GB2312" w:hAnsi="仿宋_GB2312" w:eastAsia="仿宋_GB2312" w:cs="仿宋_GB2312"/>
                <w:color w:val="auto"/>
                <w:sz w:val="24"/>
                <w:szCs w:val="24"/>
                <w:lang w:val="en-US" w:eastAsia="zh-CN"/>
              </w:rPr>
              <w:t>住建局、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3</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华文仿宋" w:cs="楷体"/>
                <w:color w:val="FF0000"/>
                <w:sz w:val="24"/>
                <w:szCs w:val="24"/>
                <w:vertAlign w:val="baseline"/>
                <w:lang w:val="en-US" w:eastAsia="zh-CN"/>
              </w:rPr>
            </w:pPr>
            <w:r>
              <w:rPr>
                <w:rFonts w:hint="eastAsia" w:ascii="楷体" w:hAnsi="楷体" w:eastAsia="楷体" w:cs="楷体"/>
                <w:spacing w:val="-6"/>
                <w:sz w:val="24"/>
                <w:szCs w:val="24"/>
                <w:vertAlign w:val="baseline"/>
                <w:lang w:val="en-US" w:eastAsia="zh-CN"/>
              </w:rPr>
              <w:t>优化水电气网报装接入，提升水电气报装办理便利度</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Calibri" w:hAnsi="Calibri" w:eastAsia="仿宋_GB2312" w:cs="Calibri"/>
                <w:color w:val="auto"/>
                <w:sz w:val="24"/>
                <w:szCs w:val="24"/>
                <w:lang w:val="en-US" w:eastAsia="zh-CN"/>
              </w:rPr>
              <w:t>推行水电气网业务联合办理，推动在市政务服务大厅和政务服务平台提供联合申请服务，一次性完成水电气网现场查勘、验收、开通等服务</w:t>
            </w:r>
            <w:r>
              <w:rPr>
                <w:rFonts w:hint="eastAsia" w:eastAsia="仿宋_GB2312" w:cs="Calibri"/>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FF0000"/>
                <w:kern w:val="2"/>
                <w:sz w:val="24"/>
                <w:szCs w:val="24"/>
                <w:lang w:val="en-US" w:eastAsia="zh-CN" w:bidi="ar-SA"/>
              </w:rPr>
            </w:pPr>
            <w:r>
              <w:rPr>
                <w:rFonts w:hint="eastAsia" w:ascii="微软雅黑" w:hAnsi="微软雅黑" w:eastAsia="微软雅黑" w:cs="微软雅黑"/>
                <w:color w:val="auto"/>
                <w:sz w:val="24"/>
                <w:szCs w:val="24"/>
                <w:lang w:val="en-US" w:eastAsia="zh-CN"/>
              </w:rPr>
              <w:t>②</w:t>
            </w:r>
            <w:r>
              <w:rPr>
                <w:rFonts w:hint="eastAsia" w:ascii="Calibri" w:hAnsi="Calibri" w:eastAsia="仿宋_GB2312" w:cs="Calibri"/>
                <w:color w:val="auto"/>
                <w:sz w:val="24"/>
                <w:szCs w:val="24"/>
                <w:lang w:val="en-US" w:eastAsia="zh-CN"/>
              </w:rPr>
              <w:t>加快落实电力工程接入费用分级承担。</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刘  辉</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孙红东</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市住建局、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市行政审批局、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市</w:t>
            </w:r>
            <w:r>
              <w:rPr>
                <w:rFonts w:hint="default" w:ascii="仿宋_GB2312" w:hAnsi="仿宋_GB2312" w:eastAsia="仿宋_GB2312" w:cs="仿宋_GB2312"/>
                <w:color w:val="auto"/>
                <w:sz w:val="24"/>
                <w:szCs w:val="24"/>
                <w:lang w:val="en-US" w:eastAsia="zh-CN"/>
              </w:rPr>
              <w:t>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4</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提升窗口工作人员服务效能，提供更主动、优质的服务</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仿宋_GB2312" w:hAnsi="仿宋_GB2312" w:eastAsia="仿宋_GB2312" w:cs="仿宋_GB2312"/>
                <w:color w:val="auto"/>
                <w:sz w:val="24"/>
                <w:szCs w:val="24"/>
                <w:lang w:val="en-US" w:eastAsia="zh-CN"/>
              </w:rPr>
              <w:t>强化窗口工作人员培训练兵，组织实施政务服务技能竞赛，提高综合素质；</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②</w:t>
            </w:r>
            <w:r>
              <w:rPr>
                <w:rFonts w:hint="eastAsia" w:ascii="Calibri" w:hAnsi="Calibri" w:eastAsia="仿宋_GB2312" w:cs="Calibri"/>
                <w:color w:val="auto"/>
                <w:sz w:val="24"/>
                <w:szCs w:val="24"/>
                <w:lang w:val="en-US" w:eastAsia="zh-CN"/>
              </w:rPr>
              <w:t>加强考核评价，提高政务服务“好差评”覆盖面，全面落实首问负责、帮办代办等机制；</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微软雅黑" w:hAnsi="微软雅黑" w:eastAsia="微软雅黑" w:cs="微软雅黑"/>
                <w:color w:val="auto"/>
                <w:sz w:val="24"/>
                <w:szCs w:val="24"/>
                <w:lang w:val="en-US" w:eastAsia="zh-CN"/>
              </w:rPr>
              <w:t>③</w:t>
            </w:r>
            <w:r>
              <w:rPr>
                <w:rFonts w:hint="eastAsia" w:ascii="Calibri" w:hAnsi="Calibri" w:eastAsia="仿宋_GB2312" w:cs="Calibri"/>
                <w:color w:val="auto"/>
                <w:sz w:val="24"/>
                <w:szCs w:val="24"/>
                <w:lang w:val="en-US" w:eastAsia="zh-CN"/>
              </w:rPr>
              <w:t>开展政务服务事项精细化梳理，为</w:t>
            </w:r>
            <w:r>
              <w:rPr>
                <w:rFonts w:hint="eastAsia" w:eastAsia="仿宋_GB2312" w:cs="Calibri"/>
                <w:color w:val="auto"/>
                <w:sz w:val="24"/>
                <w:szCs w:val="24"/>
                <w:lang w:val="en-US" w:eastAsia="zh-CN"/>
              </w:rPr>
              <w:t>企业、群众</w:t>
            </w:r>
            <w:r>
              <w:rPr>
                <w:rFonts w:hint="eastAsia" w:ascii="Calibri" w:hAnsi="Calibri" w:eastAsia="仿宋_GB2312" w:cs="Calibri"/>
                <w:color w:val="auto"/>
                <w:sz w:val="24"/>
                <w:szCs w:val="24"/>
                <w:lang w:val="en-US" w:eastAsia="zh-CN"/>
              </w:rPr>
              <w:t>提供清晰办事指引。</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刘  辉</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市</w:t>
            </w:r>
            <w:r>
              <w:rPr>
                <w:rFonts w:hint="eastAsia" w:ascii="仿宋_GB2312" w:hAnsi="仿宋_GB2312" w:eastAsia="仿宋_GB2312" w:cs="仿宋_GB2312"/>
                <w:sz w:val="24"/>
                <w:szCs w:val="24"/>
                <w:vertAlign w:val="baseline"/>
                <w:lang w:val="en-US" w:eastAsia="zh-CN"/>
              </w:rPr>
              <w:t>行政审批局及</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各窗口单位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5</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有效保障土地、能耗、污控等关键指标，积极破解要素保障不足难题，助力优质项目落地见效</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Calibri" w:hAnsi="Calibri" w:eastAsia="仿宋_GB2312" w:cs="Calibri"/>
                <w:color w:val="auto"/>
                <w:sz w:val="24"/>
                <w:szCs w:val="24"/>
                <w:lang w:val="en-US" w:eastAsia="zh-CN"/>
              </w:rPr>
              <w:t>出台关于推进工业用地提质增效的实施意见，深化“亩均论英雄”改革，积极盘活低效闲置用地；</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②</w:t>
            </w:r>
            <w:r>
              <w:rPr>
                <w:rFonts w:hint="eastAsia" w:ascii="Calibri" w:hAnsi="Calibri" w:eastAsia="仿宋_GB2312" w:cs="Calibri"/>
                <w:color w:val="auto"/>
                <w:sz w:val="24"/>
                <w:szCs w:val="24"/>
                <w:lang w:val="en-US" w:eastAsia="zh-CN"/>
              </w:rPr>
              <w:t>实施减排工程、工业园区“限值限量”管理等，挖掘环境资源要素总量潜力</w:t>
            </w:r>
            <w:r>
              <w:rPr>
                <w:rFonts w:hint="eastAsia" w:eastAsia="仿宋_GB2312" w:cs="Calibri"/>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③</w:t>
            </w:r>
            <w:r>
              <w:rPr>
                <w:rFonts w:hint="eastAsia" w:ascii="Calibri" w:hAnsi="Calibri" w:eastAsia="仿宋_GB2312" w:cs="Calibri"/>
                <w:color w:val="auto"/>
                <w:sz w:val="24"/>
                <w:szCs w:val="24"/>
                <w:lang w:val="en-US" w:eastAsia="zh-CN"/>
              </w:rPr>
              <w:t>以能耗“双控”、碳达峰碳中和</w:t>
            </w:r>
            <w:r>
              <w:rPr>
                <w:rFonts w:hint="eastAsia" w:eastAsia="仿宋_GB2312" w:cs="Calibri"/>
                <w:color w:val="auto"/>
                <w:sz w:val="24"/>
                <w:szCs w:val="24"/>
                <w:lang w:val="en-US" w:eastAsia="zh-CN"/>
              </w:rPr>
              <w:t>的</w:t>
            </w:r>
            <w:r>
              <w:rPr>
                <w:rFonts w:hint="eastAsia" w:ascii="Calibri" w:hAnsi="Calibri" w:eastAsia="仿宋_GB2312" w:cs="Calibri"/>
                <w:color w:val="auto"/>
                <w:sz w:val="24"/>
                <w:szCs w:val="24"/>
                <w:lang w:val="en-US" w:eastAsia="zh-CN"/>
              </w:rPr>
              <w:t>强约束倒逼和引导产业全面绿色转型；</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eastAsia="仿宋_GB2312" w:cs="Calibri"/>
                <w:color w:val="auto"/>
                <w:sz w:val="24"/>
                <w:szCs w:val="24"/>
                <w:lang w:val="en-US" w:eastAsia="zh-CN"/>
              </w:rPr>
            </w:pPr>
            <w:r>
              <w:rPr>
                <w:rFonts w:hint="eastAsia" w:ascii="Calibri" w:hAnsi="Calibri" w:eastAsia="仿宋_GB2312" w:cs="Calibri"/>
                <w:color w:val="auto"/>
                <w:sz w:val="24"/>
                <w:szCs w:val="24"/>
                <w:lang w:val="en-US" w:eastAsia="zh-CN"/>
              </w:rPr>
              <w:t>④坚决遏制“两高”项目盲目发展，对“两高”项目开展分类处置，强化闭环管理</w:t>
            </w:r>
            <w:r>
              <w:rPr>
                <w:rFonts w:hint="eastAsia" w:eastAsia="仿宋_GB2312" w:cs="Calibri"/>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Calibri" w:hAnsi="Calibri" w:eastAsia="仿宋_GB2312" w:cs="Calibri"/>
                <w:color w:val="auto"/>
                <w:sz w:val="24"/>
                <w:szCs w:val="24"/>
                <w:lang w:val="en-US" w:eastAsia="zh-CN"/>
              </w:rPr>
              <w:t>⑤实行要素跟着项目走，将资源要素统筹优先用于含“金”量、含“绿”量、含“新”量高和含“碳”量低的项目。</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刘  辉</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殷海成</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范存力</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孙红东</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市</w:t>
            </w:r>
            <w:r>
              <w:rPr>
                <w:rFonts w:hint="eastAsia" w:ascii="仿宋_GB2312" w:hAnsi="仿宋_GB2312" w:eastAsia="仿宋_GB2312" w:cs="仿宋_GB2312"/>
                <w:sz w:val="24"/>
                <w:szCs w:val="24"/>
                <w:vertAlign w:val="baseline"/>
                <w:lang w:val="en-US" w:eastAsia="zh-CN"/>
              </w:rPr>
              <w:t>工信局、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市</w:t>
            </w:r>
            <w:r>
              <w:rPr>
                <w:rFonts w:hint="eastAsia" w:ascii="仿宋_GB2312" w:hAnsi="仿宋_GB2312" w:eastAsia="仿宋_GB2312" w:cs="仿宋_GB2312"/>
                <w:sz w:val="24"/>
                <w:szCs w:val="24"/>
                <w:vertAlign w:val="baseline"/>
                <w:lang w:val="en-US" w:eastAsia="zh-CN"/>
              </w:rPr>
              <w:t>自然资源和规划局、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泰州泰兴生态环境局</w:t>
            </w: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lang w:val="en-US" w:eastAsia="zh-CN"/>
              </w:rPr>
              <w:t>市</w:t>
            </w:r>
            <w:r>
              <w:rPr>
                <w:rFonts w:hint="eastAsia" w:ascii="仿宋_GB2312" w:hAnsi="仿宋_GB2312" w:eastAsia="仿宋_GB2312" w:cs="仿宋_GB2312"/>
                <w:sz w:val="24"/>
                <w:szCs w:val="24"/>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6</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开展严重失信主体专项治理，化解全市严重失信主体及受行政处罚主体数量多、占比高的问题</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Calibri" w:hAnsi="Calibri" w:eastAsia="仿宋_GB2312" w:cs="Calibri"/>
                <w:color w:val="auto"/>
                <w:sz w:val="24"/>
                <w:szCs w:val="24"/>
                <w:lang w:val="en-US" w:eastAsia="zh-CN"/>
              </w:rPr>
              <w:t>落实省、市关于信用领域突出问题专项治理工作要求，核查分析我市严重失信主体和受行政处罚企业情况；</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②</w:t>
            </w:r>
            <w:r>
              <w:rPr>
                <w:rFonts w:hint="eastAsia" w:ascii="Calibri" w:hAnsi="Calibri" w:eastAsia="仿宋_GB2312" w:cs="Calibri"/>
                <w:color w:val="auto"/>
                <w:sz w:val="24"/>
                <w:szCs w:val="24"/>
                <w:lang w:val="en-US" w:eastAsia="zh-CN"/>
              </w:rPr>
              <w:t>分类采取退出、帮扶、约束处置措施，坚持动态清理和长效管理；</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③</w:t>
            </w:r>
            <w:r>
              <w:rPr>
                <w:rFonts w:hint="eastAsia" w:ascii="Calibri" w:hAnsi="Calibri" w:eastAsia="仿宋_GB2312" w:cs="Calibri"/>
                <w:color w:val="auto"/>
                <w:sz w:val="24"/>
                <w:szCs w:val="24"/>
                <w:lang w:val="en-US" w:eastAsia="zh-CN"/>
              </w:rPr>
              <w:t>坚持“清存量”和“控增量”并举，确保年底严重失信主体数量占全市注册企业数量降至1%以下。</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刘  辉</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市</w:t>
            </w:r>
            <w:r>
              <w:rPr>
                <w:rFonts w:hint="eastAsia" w:ascii="仿宋_GB2312" w:hAnsi="仿宋_GB2312" w:eastAsia="仿宋_GB2312" w:cs="仿宋_GB2312"/>
                <w:sz w:val="24"/>
                <w:szCs w:val="24"/>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7</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清理破产积案，着力解决三年以上长期未结破产案件，提升破产案件办理质效</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Calibri" w:hAnsi="Calibri" w:eastAsia="仿宋_GB2312" w:cs="Calibri"/>
                <w:color w:val="auto"/>
                <w:sz w:val="24"/>
                <w:szCs w:val="24"/>
                <w:lang w:val="en-US" w:eastAsia="zh-CN"/>
              </w:rPr>
              <w:t>积极清理三年以上长期未结破产案件，建立破产案件快速审理机制，做到长期未结案件“应清尽清、应结尽结”；</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②</w:t>
            </w:r>
            <w:r>
              <w:rPr>
                <w:rFonts w:hint="eastAsia" w:ascii="Calibri" w:hAnsi="Calibri" w:eastAsia="仿宋_GB2312" w:cs="Calibri"/>
                <w:color w:val="auto"/>
                <w:sz w:val="24"/>
                <w:szCs w:val="24"/>
                <w:lang w:val="en-US" w:eastAsia="zh-CN"/>
              </w:rPr>
              <w:t>强化府院联动，多渠道筹措破产经费，解决无产可破企业管理人报酬难题；</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③</w:t>
            </w:r>
            <w:r>
              <w:rPr>
                <w:rFonts w:hint="eastAsia" w:ascii="Calibri" w:hAnsi="Calibri" w:eastAsia="仿宋_GB2312" w:cs="Calibri"/>
                <w:color w:val="auto"/>
                <w:sz w:val="24"/>
                <w:szCs w:val="24"/>
                <w:lang w:val="en-US" w:eastAsia="zh-CN"/>
              </w:rPr>
              <w:t>深入推进“危企涅槃计划”，因企施策、对症开方，盘活优质资产存量，充分释放经济新动能。</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王建武</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市委政法委、</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市</w:t>
            </w:r>
            <w:r>
              <w:rPr>
                <w:rFonts w:hint="eastAsia" w:ascii="仿宋_GB2312" w:hAnsi="仿宋_GB2312" w:eastAsia="仿宋_GB2312" w:cs="仿宋_GB2312"/>
                <w:sz w:val="24"/>
                <w:szCs w:val="24"/>
                <w:vertAlign w:val="baseline"/>
                <w:lang w:val="en-US" w:eastAsia="zh-CN"/>
              </w:rPr>
              <w:t>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8</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降低行政诉讼败诉率和政府失信案件数量，强化政务诚信建设</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Calibri" w:hAnsi="Calibri" w:eastAsia="仿宋_GB2312" w:cs="Calibri"/>
                <w:color w:val="auto"/>
                <w:sz w:val="24"/>
                <w:szCs w:val="24"/>
                <w:lang w:val="en-US" w:eastAsia="zh-CN"/>
              </w:rPr>
              <w:t>定期与医药高新区法院、泰州中院沟通对接，及时跟踪了解本市行政诉讼案件情况，梳理涉诉行政行为类型，分析成因，及时指导、提醒相关行政主体依法行政，并做好事前调解和事中化解工作，大力压降行政诉讼败诉率；</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②</w:t>
            </w:r>
            <w:r>
              <w:rPr>
                <w:rFonts w:hint="eastAsia" w:ascii="Calibri" w:hAnsi="Calibri" w:eastAsia="仿宋_GB2312" w:cs="Calibri"/>
                <w:color w:val="auto"/>
                <w:sz w:val="24"/>
                <w:szCs w:val="24"/>
                <w:lang w:val="en-US" w:eastAsia="zh-CN"/>
              </w:rPr>
              <w:t>持续开展政府机构失信问题治理，按季度查询政府机构失信情况，防范和化解政府失信风险，确保全市政府机构失信案件“清零”。</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刘  辉</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王建武</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孙  峰</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市委政法委、</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市</w:t>
            </w:r>
            <w:r>
              <w:rPr>
                <w:rFonts w:hint="default" w:ascii="仿宋_GB2312" w:hAnsi="仿宋_GB2312" w:eastAsia="仿宋_GB2312" w:cs="仿宋_GB2312"/>
                <w:sz w:val="24"/>
                <w:szCs w:val="24"/>
                <w:vertAlign w:val="baseline"/>
                <w:lang w:val="en-US" w:eastAsia="zh-CN"/>
              </w:rPr>
              <w:t>法院、</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市</w:t>
            </w:r>
            <w:r>
              <w:rPr>
                <w:rFonts w:hint="eastAsia" w:ascii="仿宋_GB2312" w:hAnsi="仿宋_GB2312" w:eastAsia="仿宋_GB2312" w:cs="仿宋_GB2312"/>
                <w:sz w:val="24"/>
                <w:szCs w:val="24"/>
                <w:vertAlign w:val="baseline"/>
                <w:lang w:val="en-US" w:eastAsia="zh-CN"/>
              </w:rPr>
              <w:t>司法局、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市</w:t>
            </w:r>
            <w:r>
              <w:rPr>
                <w:rFonts w:hint="default" w:ascii="仿宋_GB2312" w:hAnsi="仿宋_GB2312" w:eastAsia="仿宋_GB2312" w:cs="仿宋_GB2312"/>
                <w:sz w:val="24"/>
                <w:szCs w:val="24"/>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9</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落细落实人才新政“双十条”，积极打造青年友好型城市</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Calibri" w:hAnsi="Calibri" w:eastAsia="仿宋_GB2312" w:cs="Calibri"/>
                <w:color w:val="auto"/>
                <w:sz w:val="24"/>
                <w:szCs w:val="24"/>
                <w:lang w:val="en-US" w:eastAsia="zh-CN"/>
              </w:rPr>
              <w:t>制定人才新政“双十条”实施细则，上线运行“青才泰兴”服务平台，组织企业申报“人才强企年卡”，并下发奖补资金；</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②</w:t>
            </w:r>
            <w:r>
              <w:rPr>
                <w:rFonts w:hint="eastAsia" w:ascii="Calibri" w:hAnsi="Calibri" w:eastAsia="仿宋_GB2312" w:cs="Calibri"/>
                <w:color w:val="auto"/>
                <w:spacing w:val="-11"/>
                <w:sz w:val="24"/>
                <w:szCs w:val="24"/>
                <w:lang w:val="en-US" w:eastAsia="zh-CN"/>
              </w:rPr>
              <w:t>全年引进高层次人才580名，国家级人才20名以上；</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③</w:t>
            </w:r>
            <w:r>
              <w:rPr>
                <w:rFonts w:hint="eastAsia" w:ascii="Calibri" w:hAnsi="Calibri" w:eastAsia="仿宋_GB2312" w:cs="Calibri"/>
                <w:color w:val="auto"/>
                <w:sz w:val="24"/>
                <w:szCs w:val="24"/>
                <w:lang w:val="en-US" w:eastAsia="zh-CN"/>
              </w:rPr>
              <w:t>探索实施“人才落户一件事”；</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④</w:t>
            </w:r>
            <w:r>
              <w:rPr>
                <w:rFonts w:hint="eastAsia" w:ascii="Calibri" w:hAnsi="Calibri" w:eastAsia="仿宋_GB2312" w:cs="Calibri"/>
                <w:color w:val="auto"/>
                <w:sz w:val="24"/>
                <w:szCs w:val="24"/>
                <w:lang w:val="en-US" w:eastAsia="zh-CN"/>
              </w:rPr>
              <w:t>设置并运行“青才驿站”，为来泰求职应届高校毕业生提供“免费住宿+就业指导+城市融入”的一站式服务。</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冯海镛</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殷海成</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市委</w:t>
            </w:r>
            <w:r>
              <w:rPr>
                <w:rFonts w:hint="default" w:ascii="仿宋_GB2312" w:hAnsi="仿宋_GB2312" w:eastAsia="仿宋_GB2312" w:cs="仿宋_GB2312"/>
                <w:sz w:val="24"/>
                <w:szCs w:val="24"/>
                <w:vertAlign w:val="baseline"/>
                <w:lang w:val="en-US" w:eastAsia="zh-CN"/>
              </w:rPr>
              <w:t>组织部、</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市</w:t>
            </w:r>
            <w:r>
              <w:rPr>
                <w:rFonts w:hint="default" w:ascii="仿宋_GB2312" w:hAnsi="仿宋_GB2312" w:eastAsia="仿宋_GB2312" w:cs="仿宋_GB2312"/>
                <w:sz w:val="24"/>
                <w:szCs w:val="24"/>
                <w:vertAlign w:val="baseline"/>
                <w:lang w:val="en-US" w:eastAsia="zh-CN"/>
              </w:rPr>
              <w:t>人社局</w:t>
            </w:r>
            <w:r>
              <w:rPr>
                <w:rFonts w:hint="eastAsia" w:ascii="仿宋_GB2312" w:hAnsi="仿宋_GB2312" w:eastAsia="仿宋_GB2312" w:cs="仿宋_GB2312"/>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团市委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10</w:t>
            </w:r>
          </w:p>
        </w:tc>
        <w:tc>
          <w:tcPr>
            <w:tcW w:w="35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构建政商交往新常态，进一步规范政商交往行为，积极构建亲而有度、清而有为的良好政商关系，营造风清气正的政治生态</w:t>
            </w:r>
          </w:p>
        </w:tc>
        <w:tc>
          <w:tcPr>
            <w:tcW w:w="57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Calibri" w:hAnsi="Calibri" w:eastAsia="仿宋_GB2312" w:cs="Calibri"/>
                <w:color w:val="auto"/>
                <w:sz w:val="24"/>
                <w:szCs w:val="24"/>
                <w:lang w:val="en-US" w:eastAsia="zh-CN"/>
              </w:rPr>
              <w:t>修订《泰兴市政商交往正面、负面清单》，加强执行情况监督检查；</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②</w:t>
            </w:r>
            <w:r>
              <w:rPr>
                <w:rFonts w:hint="eastAsia" w:ascii="Calibri" w:hAnsi="Calibri" w:eastAsia="仿宋_GB2312" w:cs="Calibri"/>
                <w:color w:val="auto"/>
                <w:sz w:val="24"/>
                <w:szCs w:val="24"/>
                <w:lang w:val="en-US" w:eastAsia="zh-CN"/>
              </w:rPr>
              <w:t>开展整治群众身边腐败和作风突出问题2022年度“清风行动”，精准选择一批群众反映强烈的“急难愁盼”问题，“小切口”集中开展专项治理和监督；</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③</w:t>
            </w:r>
            <w:r>
              <w:rPr>
                <w:rFonts w:hint="eastAsia" w:ascii="Calibri" w:hAnsi="Calibri" w:eastAsia="仿宋_GB2312" w:cs="Calibri"/>
                <w:color w:val="auto"/>
                <w:spacing w:val="-6"/>
                <w:sz w:val="24"/>
                <w:szCs w:val="24"/>
                <w:lang w:val="en-US" w:eastAsia="zh-CN"/>
              </w:rPr>
              <w:t>开展营商环境</w:t>
            </w:r>
            <w:r>
              <w:rPr>
                <w:rFonts w:hint="eastAsia" w:eastAsia="仿宋_GB2312" w:cs="Calibri"/>
                <w:color w:val="auto"/>
                <w:spacing w:val="-6"/>
                <w:sz w:val="24"/>
                <w:szCs w:val="24"/>
                <w:lang w:val="en-US" w:eastAsia="zh-CN"/>
              </w:rPr>
              <w:t>领域</w:t>
            </w:r>
            <w:r>
              <w:rPr>
                <w:rFonts w:hint="eastAsia" w:ascii="Calibri" w:hAnsi="Calibri" w:eastAsia="仿宋_GB2312" w:cs="Calibri"/>
                <w:color w:val="auto"/>
                <w:spacing w:val="-6"/>
                <w:sz w:val="24"/>
                <w:szCs w:val="24"/>
                <w:lang w:val="en-US" w:eastAsia="zh-CN"/>
              </w:rPr>
              <w:t>纪律作风整治，以整顿懒政怠政、不担当不作为、吃拿卡要、以权谋私、利益输送等阻碍市场良性发展的纪律作风问题为切入点，查处严重破坏政商关系、损害营商环境的违规违纪行为；</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Calibri" w:hAnsi="Calibri" w:eastAsia="仿宋_GB2312" w:cs="Calibri"/>
                <w:color w:val="auto"/>
                <w:sz w:val="24"/>
                <w:szCs w:val="24"/>
                <w:lang w:val="en-US" w:eastAsia="zh-CN"/>
              </w:rPr>
            </w:pPr>
            <w:r>
              <w:rPr>
                <w:rFonts w:hint="eastAsia" w:ascii="微软雅黑" w:hAnsi="微软雅黑" w:eastAsia="微软雅黑" w:cs="微软雅黑"/>
                <w:color w:val="auto"/>
                <w:sz w:val="24"/>
                <w:szCs w:val="24"/>
                <w:lang w:val="en-US" w:eastAsia="zh-CN"/>
              </w:rPr>
              <w:t>④</w:t>
            </w:r>
            <w:r>
              <w:rPr>
                <w:rFonts w:hint="eastAsia" w:ascii="Calibri" w:hAnsi="Calibri" w:eastAsia="仿宋_GB2312" w:cs="Calibri"/>
                <w:color w:val="auto"/>
                <w:sz w:val="24"/>
                <w:szCs w:val="24"/>
                <w:lang w:val="en-US" w:eastAsia="zh-CN"/>
              </w:rPr>
              <w:t>认真落实容错纠错、激励鼓励机制，积极提倡宽容失误、鼓励担当的鲜明导向，激励全体公职人员主动担当作为。</w:t>
            </w:r>
          </w:p>
        </w:tc>
        <w:tc>
          <w:tcPr>
            <w:tcW w:w="1815"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夏万云</w:t>
            </w:r>
          </w:p>
        </w:tc>
        <w:tc>
          <w:tcPr>
            <w:tcW w:w="2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w:t>
            </w:r>
            <w:r>
              <w:rPr>
                <w:rFonts w:hint="default" w:ascii="仿宋_GB2312" w:hAnsi="仿宋_GB2312" w:eastAsia="仿宋_GB2312" w:cs="仿宋_GB2312"/>
                <w:sz w:val="24"/>
                <w:szCs w:val="24"/>
                <w:vertAlign w:val="baseline"/>
                <w:lang w:val="en-US" w:eastAsia="zh-CN"/>
              </w:rPr>
              <w:t>纪委监委、</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党政督查室</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D5F0EE-2762-4D3F-82D3-ED1A1B0CDE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5482D9-8CE3-48B7-B1E0-6541CE056F5B}"/>
  </w:font>
  <w:font w:name="仿宋_GB2312">
    <w:panose1 w:val="02010609030101010101"/>
    <w:charset w:val="86"/>
    <w:family w:val="modern"/>
    <w:pitch w:val="default"/>
    <w:sig w:usb0="00000001" w:usb1="080E0000" w:usb2="00000000" w:usb3="00000000" w:csb0="00040000" w:csb1="00000000"/>
    <w:embedRegular r:id="rId3" w:fontKey="{B12F1BD0-9D24-458C-AC32-3104140EF3CE}"/>
  </w:font>
  <w:font w:name="??_GB2312">
    <w:altName w:val="Times New Roman"/>
    <w:panose1 w:val="00000000000000000000"/>
    <w:charset w:val="00"/>
    <w:family w:val="auto"/>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4" w:fontKey="{472F4157-F78D-4071-ABF9-BA501EBEDFEB}"/>
  </w:font>
  <w:font w:name="楷体">
    <w:panose1 w:val="02010609060101010101"/>
    <w:charset w:val="86"/>
    <w:family w:val="modern"/>
    <w:pitch w:val="default"/>
    <w:sig w:usb0="800002BF" w:usb1="38CF7CFA" w:usb2="00000016" w:usb3="00000000" w:csb0="00040001" w:csb1="00000000"/>
    <w:embedRegular r:id="rId5" w:fontKey="{EC87CBEE-54A9-4963-8B6B-ED22F1FAA6A0}"/>
  </w:font>
  <w:font w:name="微软雅黑">
    <w:panose1 w:val="020B0503020204020204"/>
    <w:charset w:val="86"/>
    <w:family w:val="auto"/>
    <w:pitch w:val="default"/>
    <w:sig w:usb0="80000287" w:usb1="2ACF3C50" w:usb2="00000016" w:usb3="00000000" w:csb0="0004001F" w:csb1="00000000"/>
    <w:embedRegular r:id="rId6" w:fontKey="{113BC046-7FD8-498F-9D59-1DAEADF9C1A4}"/>
  </w:font>
  <w:font w:name="华文仿宋">
    <w:altName w:val="仿宋"/>
    <w:panose1 w:val="02010600040101010101"/>
    <w:charset w:val="86"/>
    <w:family w:val="auto"/>
    <w:pitch w:val="default"/>
    <w:sig w:usb0="00000000" w:usb1="00000000" w:usb2="00000000" w:usb3="00000000" w:csb0="0004009F" w:csb1="DFD70000"/>
    <w:embedRegular r:id="rId7" w:fontKey="{6683803C-C033-4F19-87D8-23743731EA9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M0Yjg3YmEzYzg2ZWJjNGVlNzhjNzZmZjU3NzIifQ=="/>
  </w:docVars>
  <w:rsids>
    <w:rsidRoot w:val="21206402"/>
    <w:rsid w:val="21206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uiPriority w:val="0"/>
    <w:pPr>
      <w:widowControl w:val="0"/>
      <w:spacing w:after="0" w:line="360" w:lineRule="auto"/>
      <w:ind w:left="0" w:firstLine="200" w:firstLineChars="200"/>
      <w:jc w:val="both"/>
    </w:pPr>
    <w:rPr>
      <w:rFonts w:ascii="Times New Roman" w:hAnsi="Times New Roman" w:eastAsia="宋体" w:cs="Arial"/>
      <w:kern w:val="2"/>
      <w:sz w:val="28"/>
      <w:szCs w:val="20"/>
      <w:lang w:val="en-US" w:eastAsia="zh-CN" w:bidi="ar-SA"/>
    </w:rPr>
  </w:style>
  <w:style w:type="paragraph" w:styleId="3">
    <w:name w:val="Body Text Indent"/>
    <w:basedOn w:val="1"/>
    <w:next w:val="4"/>
    <w:qFormat/>
    <w:uiPriority w:val="0"/>
    <w:pPr>
      <w:widowControl w:val="0"/>
      <w:spacing w:line="640" w:lineRule="exact"/>
      <w:ind w:firstLine="675"/>
      <w:jc w:val="both"/>
    </w:pPr>
    <w:rPr>
      <w:rFonts w:ascii="Times New Roman" w:hAnsi="Times New Roman" w:eastAsia="仿宋_GB2312" w:cs="Times New Roman"/>
      <w:kern w:val="2"/>
      <w:sz w:val="32"/>
      <w:szCs w:val="32"/>
      <w:lang w:val="en-US" w:eastAsia="zh-CN" w:bidi="ar-SA"/>
    </w:rPr>
  </w:style>
  <w:style w:type="paragraph" w:styleId="4">
    <w:name w:val="Normal Indent"/>
    <w:basedOn w:val="1"/>
    <w:next w:val="1"/>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Body Text First Indent"/>
    <w:basedOn w:val="1"/>
    <w:next w:val="6"/>
    <w:uiPriority w:val="0"/>
    <w:pPr>
      <w:ind w:firstLine="100" w:firstLineChars="100"/>
    </w:pPr>
  </w:style>
  <w:style w:type="paragraph" w:styleId="6">
    <w:name w:val="Body Text"/>
    <w:basedOn w:val="1"/>
    <w:next w:val="7"/>
    <w:uiPriority w:val="0"/>
    <w:pPr>
      <w:spacing w:after="120" w:afterAutospacing="0"/>
    </w:pPr>
    <w:rPr>
      <w:rFonts w:ascii="Calibri" w:hAnsi="Calibri"/>
    </w:rPr>
  </w:style>
  <w:style w:type="paragraph" w:styleId="7">
    <w:name w:val="Body Text Indent 2"/>
    <w:basedOn w:val="1"/>
    <w:next w:val="1"/>
    <w:uiPriority w:val="0"/>
    <w:pPr>
      <w:widowControl w:val="0"/>
      <w:spacing w:line="560" w:lineRule="exact"/>
      <w:ind w:firstLine="200" w:firstLineChars="200"/>
      <w:jc w:val="both"/>
    </w:pPr>
    <w:rPr>
      <w:rFonts w:ascii="??_GB2312" w:hAnsi="??_GB2312" w:eastAsia="Times New Roman" w:cs="Times New Roman"/>
      <w:kern w:val="2"/>
      <w:sz w:val="32"/>
      <w:szCs w:val="20"/>
      <w:lang w:val="en-US" w:eastAsia="zh-CN" w:bidi="ar-SA"/>
    </w:rPr>
  </w:style>
  <w:style w:type="paragraph" w:styleId="8">
    <w:name w:val="footer"/>
    <w:basedOn w:val="1"/>
    <w:uiPriority w:val="0"/>
    <w:pPr>
      <w:tabs>
        <w:tab w:val="center" w:pos="4153"/>
        <w:tab w:val="right" w:pos="8306"/>
      </w:tabs>
      <w:snapToGrid w:val="0"/>
      <w:jc w:val="left"/>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2022-07-13T02:48:00Z</dcterms:created>
  <dc:creator>Y小花</dc:creator>
  <cp:lastModifiedBy>Y小花</cp:lastModifiedBy>
  <dcterms:modified xsi:type="dcterms:W3CDTF">2022-07-13T02:49:08Z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BCB095350AA342179510BB0A5D3835C6</vt:lpwstr>
  </property>
</Properties>
</file>